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Troska duszpasterska zadaniem nas wszystkich</w:t>
      </w:r>
    </w:p>
    <w:p w:rsidR="00A77B3E">
      <w:pPr>
        <w:rPr>
          <w:noProof/>
        </w:rPr>
      </w:pPr>
      <w:r>
        <w:rPr>
          <w:rFonts w:ascii="Times New Roman" w:eastAsia="Times New Roman" w:hAnsi="Times New Roman" w:cs="Times New Roman"/>
          <w:noProof w:val="0"/>
          <w:sz w:val="28"/>
        </w:rPr>
        <w:t>Autor: Krzysztof Radzimski</w:t>
        <w:br/>
        <w:t>Data: 28 maja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Mam czasami wrażenie, że ludzie upodabniają się do postaci z seriali typu M jak Miłość. Nie rozmawiają poważnie o problemach, tylko plotkują i obmawiają drugich za ich plecami. Zachowują się jak dzieci a nie dorośli. Gniewają się, ale nie umieją właściwie komunikować swoich myśli. Tyle w nich wzburzenia i poczucia krzywdy. Chowają się za ugrzeczniomymi nabożnymi minkami, lub wielkim świętym oburzeniem, podczas gdy ich motywy są zwyczajnie niskie, a problem leży zupełnie gdzie indziej.</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Obecne, egocentryczne społeczeństwo, tak mocno skupione jest na ważności pojęcia osoby i jej odczuć, że wykształciły się takie pojęcia jak: </w:t>
      </w:r>
      <w:r>
        <w:rPr>
          <w:rFonts w:ascii="Times New Roman" w:eastAsia="Times New Roman" w:hAnsi="Times New Roman" w:cs="Times New Roman"/>
          <w:i/>
          <w:iCs/>
          <w:noProof w:val="0"/>
          <w:sz w:val="28"/>
        </w:rPr>
        <w:t>hejt</w:t>
      </w: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mowa nienawiści</w:t>
      </w: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obraza uczuć</w:t>
      </w:r>
      <w:r>
        <w:rPr>
          <w:rFonts w:ascii="Times New Roman" w:eastAsia="Times New Roman" w:hAnsi="Times New Roman" w:cs="Times New Roman"/>
          <w:noProof w:val="0"/>
          <w:sz w:val="28"/>
        </w:rPr>
        <w:t xml:space="preserve"> oraz nowe słowa z końcówką „fobia”. Na naszych oczach pojęcia takie jak </w:t>
      </w:r>
      <w:r>
        <w:rPr>
          <w:rFonts w:ascii="Times New Roman" w:eastAsia="Times New Roman" w:hAnsi="Times New Roman" w:cs="Times New Roman"/>
          <w:i/>
          <w:iCs/>
          <w:noProof w:val="0"/>
          <w:sz w:val="28"/>
        </w:rPr>
        <w:t>tolerancja</w:t>
      </w:r>
      <w:r>
        <w:rPr>
          <w:rFonts w:ascii="Times New Roman" w:eastAsia="Times New Roman" w:hAnsi="Times New Roman" w:cs="Times New Roman"/>
          <w:noProof w:val="0"/>
          <w:sz w:val="28"/>
        </w:rPr>
        <w:t xml:space="preserve"> zmieniają znaczenie na </w:t>
      </w:r>
      <w:r>
        <w:rPr>
          <w:rFonts w:ascii="Times New Roman" w:eastAsia="Times New Roman" w:hAnsi="Times New Roman" w:cs="Times New Roman"/>
          <w:i/>
          <w:iCs/>
          <w:noProof w:val="0"/>
          <w:sz w:val="28"/>
        </w:rPr>
        <w:t>całkowita afirmacja</w:t>
      </w:r>
      <w:r>
        <w:rPr>
          <w:rFonts w:ascii="Times New Roman" w:eastAsia="Times New Roman" w:hAnsi="Times New Roman" w:cs="Times New Roman"/>
          <w:noProof w:val="0"/>
          <w:sz w:val="28"/>
        </w:rPr>
        <w:t xml:space="preserve">. W tym otoczeniu kulturowym, w którym prawa jednostki są tak istotne dla społeczeństwa, niezwykle trudno jest wdrażać biblijną, kościelną dyscyplinę, ganić niepoprawne, grzeszne zachowania i tym samym zachowywać czystość i świętość życia chrześcijańskiego.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Protestantyzujący arcybiskup, Grzegorz Ryś, napisał książkę zatytułowaną „W Kościele jest miejsce dla wszystkich”, w której wyraził przekonanie, że wiarę należy postrzegać w kategoriach personalistycznych. Jak to ujmuje: „Wszystkie inne kategorie otwierają wiarę na łatwą ideologizację. Wtedy zaczynamy dzielić, potrzebujemy wrogów, sztandaru itd. Mnie obchodzi przede wszystkim pytanie, jak poprowadzić człowieka do osobistego spotkania z Jezusem – osoby z Osobą”</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Rzeczywiście, spotkanie z Jezusem jest najistotniejszą sprawą, tym najważniejszym spotkaniem, które ma nie tylko nastąpić, ale i trwać; ale czy oznacza to, że nie potrzebujemy standardów, które będą egzekwowały działanie wg. woli Bożej? Czy nie mamy żadnych wrogów? Czy nasz baptystyczny czy szerzej ewangelikalny sztandar nie ma żadnego znaczenia? Czy wiara ma głównie wymiar indywidualny, Jezus i ja, a może znacznie szerszy? Pytania takie, wymagają uczciwej oceny i odpowiedzi.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Zdaje się, że na nowo należy przemyśleć i wdrożyć w życie Kościoła tak ważne fragmenty jak ten, który będziemy dziś rozważać. Naszym zadaniem będzie uważne przyjrzenie się temu tekstowi, by następnie zbliżyć się do współczesnego jego zastosowania.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wskazuje William MacDonald: „[Nasz] problem [z tym tekstem] polega na tym, że my tego nie praktykujemy.”</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 Zarysowując pobieżnie dalszy i bliższy kontekst, przejdziemy do rozważenia tekstu, by następnie podsumować jego wyniki, wyciągając wnioski przydatne dla naszych wspólnot – zarówno w Nowym Dworze Mazowieckim, jak i tu w Legionowie.</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Kontekst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Dalszy kontekst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Przedmiotem naszych rozważań będzie Ew. Mateusza 18:15-20. Zarysowując dalszy kontekst Ewangelia Mateusza, jeśli dzielić ją na części</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należałoby wyszczególnić ich 7:</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1. Wprowadzenie (1:1-2:33),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2. Głoszenie Królestwa (3:1-7:29),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3. Działalność w Galilei (8:1-10:42),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4. Sprzeciw wobec Jezusa (11:1-13:52),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5. O Chrystusie i Kościele (13:35-18:35),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a. </w:t>
      </w:r>
      <w:r>
        <w:rPr>
          <w:rFonts w:ascii="Times New Roman" w:eastAsia="Times New Roman" w:hAnsi="Times New Roman" w:cs="Times New Roman"/>
          <w:i/>
          <w:iCs/>
          <w:noProof w:val="0"/>
          <w:sz w:val="28"/>
        </w:rPr>
        <w:t>Mowa Kościeln</w:t>
      </w:r>
      <w:r>
        <w:rPr>
          <w:rFonts w:ascii="Times New Roman" w:eastAsia="Times New Roman" w:hAnsi="Times New Roman" w:cs="Times New Roman"/>
          <w:noProof w:val="0"/>
          <w:sz w:val="28"/>
        </w:rPr>
        <w:t>a (18:1-35),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i. Lekcja wielkości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ii. Ostrzeżenie przed wywoływaniem skandali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iii. Przypowieść o zbłąkanej owcy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iv. </w:t>
      </w:r>
      <w:r>
        <w:rPr>
          <w:rFonts w:ascii="Times New Roman" w:eastAsia="Times New Roman" w:hAnsi="Times New Roman" w:cs="Times New Roman"/>
          <w:b/>
          <w:bCs/>
          <w:noProof w:val="0"/>
          <w:sz w:val="28"/>
        </w:rPr>
        <w:t>Troska duszpasterska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v. Przypowieść o dwóch dłużnikach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6. Podróż i działalność w Jerozolimie (19:1-25:46),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7. Zakończenie (26:1-28:20);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gdzie część 5 </w:t>
      </w:r>
      <w:r>
        <w:rPr>
          <w:rFonts w:ascii="Times New Roman" w:eastAsia="Times New Roman" w:hAnsi="Times New Roman" w:cs="Times New Roman"/>
          <w:i/>
          <w:iCs/>
          <w:noProof w:val="0"/>
          <w:sz w:val="28"/>
        </w:rPr>
        <w:t>o Chrystusie i Kościele</w:t>
      </w:r>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Bliższy kontekst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oprócz opisów i dialogów o odrzuceniu i wyznaniu Jezusa (13:35-17:27), zawiera </w:t>
      </w:r>
      <w:r>
        <w:rPr>
          <w:rFonts w:ascii="Times New Roman" w:eastAsia="Times New Roman" w:hAnsi="Times New Roman" w:cs="Times New Roman"/>
          <w:i/>
          <w:iCs/>
          <w:noProof w:val="0"/>
          <w:sz w:val="28"/>
        </w:rPr>
        <w:t>Mowę Kościelną</w:t>
      </w:r>
      <w:r>
        <w:rPr>
          <w:rFonts w:ascii="Times New Roman" w:eastAsia="Times New Roman" w:hAnsi="Times New Roman" w:cs="Times New Roman"/>
          <w:noProof w:val="0"/>
          <w:sz w:val="28"/>
        </w:rPr>
        <w:t xml:space="preserve"> (18:1-35). Narracja</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 xml:space="preserve"> rozpoczyna się ona od „lekcji wielkości”, w której dzieci stanowią przykład uniżenia i pokory, której tak często brak dorosłym. Motyw przyjęcia lub odrzucenia tego „najmniejszego” spośród wierzących, będzie wprowadzeniem kolejnej mowy. Kolejna myśl Pana, zwraca naszą uwagę na powszechność skandali wywoływanych przez wierzących. Dojrzali powinni uniknąć takiej sytuacji nawet za cenę utraty czegoś tak cennego jak część ciała. Przypowieść „o zbłąkanej owcy” stanowi unaocznienie wcześniejszych pouczeń. Wolą Ojca jest, aby wszyscy wybrani do zbawienia je otrzymali, dlatego usilne poszukiwanie kogoś, kto zaginął, ma być priorytetem w funkcjonowaniu Kościoła. Tak przygotowany grunt, pozwala właściwie zrozumieć sens naszej perykopy. Dodatkowo wzmocni go kolejna przypowieść „o dwóch dłużnikach”, gdzie Jezus odpowiada na pytanie Piotra: </w:t>
      </w:r>
      <w:r>
        <w:rPr>
          <w:rFonts w:ascii="Times New Roman" w:eastAsia="Times New Roman" w:hAnsi="Times New Roman" w:cs="Times New Roman"/>
          <w:i/>
          <w:iCs/>
          <w:noProof w:val="0"/>
          <w:sz w:val="28"/>
        </w:rPr>
        <w:t>ile razy mam odpuścić mojemu bratu</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Sens tej nauki jest jasny: „chrześcijańskie przebaczenie wzoruje się na Bożym, nieskończonym przebaczeniu”</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 xml:space="preserve">. Już na tym etapie, analizując kontekst, możemy stwierdzić, że nasz fragment, nie jest procedurą wykluczenia z Kościoła, ale środkiem ocalenia, tego „najmniejszego” spośród braci, który zaginął, który się pogubił. Słusznie SNPPD oddaje ten fragment śródtytułem „Troska duszpasterska”, bo </w:t>
      </w:r>
      <w:r>
        <w:rPr>
          <w:rFonts w:ascii="Times New Roman" w:eastAsia="Times New Roman" w:hAnsi="Times New Roman" w:cs="Times New Roman"/>
          <w:b/>
          <w:bCs/>
          <w:noProof w:val="0"/>
          <w:sz w:val="28"/>
        </w:rPr>
        <w:t>troska duszpasterska nie jest tylko zadaniem duchownych. Jest zadaniem nas wszystkich</w:t>
      </w:r>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twój brat zgrzeszy przeciw tobie, idź upomnij go </w:t>
      </w:r>
      <w:r>
        <w:rPr>
          <w:rFonts w:ascii="Times New Roman" w:eastAsia="Times New Roman" w:hAnsi="Times New Roman" w:cs="Times New Roman"/>
          <w:b/>
          <w:bCs/>
          <w:noProof w:val="0"/>
          <w:sz w:val="28"/>
        </w:rPr>
        <w:t>sam na sam</w:t>
      </w:r>
      <w:r>
        <w:rPr>
          <w:rFonts w:ascii="Times New Roman" w:eastAsia="Times New Roman" w:hAnsi="Times New Roman" w:cs="Times New Roman"/>
          <w:noProof w:val="0"/>
          <w:sz w:val="28"/>
        </w:rPr>
        <w:t>; jeśli cię posłucha, pozyskałeś swego brata. Jeśli zaś nie posłucha, weź z sobą jeszcze jednego lub dwóch, aby na świadectwie dwóch lub trzech świadków była oparta każda sprawa. Jeśli zaś ich zlekceważy, powiedz zgromadzeniu; a jeśli i zgromadzenie zlekceważy, niech ci będzie jak poganin i celnik. Zapewniam was, cokolwiek zwiążecie na ziemi, będzie związane w niebie; i cokolwiek rozwiążecie na ziemi, będzie rozwiązane w niebie. Znów zapewniam was, że jeśli dwaj z was na ziemi zgodzą się co do wszelkiej sprawy, o którą chcieliby poprosić, stanie się im ze strony mojego Ojca w niebie. Gdzie bowiem są dwaj lub trzej zgromadzeni w moje imię, tam jestem pośród nich</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Egzegeza tekstu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Wiem, że część z nas może nie być przyzwyczajona do czytania tego tekstu jako jednego bloku. Ale miejmy na względzie, że te podtytuły, które są w naszych bibliach, nie są częścią tekstu natchnionego, ale wytworem tłumacza. Po drugie, spróbujmy spojrzeć na ten tekst w jego możliwie pierwotnej postaci, aby uniknąć przypadku, gdy to jego interpretacja w języku polskim wpływa na nasz sposób jego postrzegania. Zobaczmy jak poszczególne słowa greckie wiążą wzajemnie ten tekst.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Korzystając z nakreślonego kontekstu zakładamy, że ów μικρων (mały lub najmniejszy) płynnie przechodzi w pojęcie αδελφος (brat) i z tej perspektywy będziemy spoglądać na całą opisaną tu procedurę</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Możemy ją zatem nieco podzielić na kilka punktów</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1. Postępowanie w przypadku winy brata w zgromadzeniu (15a):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a. Napomnienie indywidualne (15b),</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b. Napomnienie w obecności świadków (16),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c. Napomnienie i sankcja w zgromadzeniu (17),</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2. Wskazanie na autorytet Kościoła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3. Modlitwa przywódców Kościoła (19),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4. Obecność Jezusa w decyzjach Kościoła (20).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Spoglądając na w. 18-20 załóżmy, że są one ściśle powiązane ze sprawami dotyczącymi dyscypliny kościelnej i nie są one podstawą do snucia opowieści o cudownych mocach dwóch lub trzech chrześcijan, którzy umówili się w jakieś dowolnej kwestii.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Tekst posiada dwa odniesienia paralelne w Łk 17:3 i J 20:23</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Łukasz skraca wypowiedź Jezusa, nie nadając jej eklezjalnego, czyli kościelnego zabarwienia, natomiast wypowiedź Jana dotyczy wydarzeń po zmartwychwstaniu. Marek nie wspomina tej mowy Jezusa, co może sugerować, że nie pochodzi ona ze źródła wspólnego, synoptycznego Q, ale jest autorskim zapisem Mateusza, następnie użytym przez Łukasza, lub zanotowanym przez niego niezależnie</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Dzisiejszy tekst pokazuje, że „Jezus nie pozwala trwać w obojętności wobec tych, którzy czynią źle, którzy grzeszą i przez to nie tylko oddalają się od Boga, ale też gorszą innych. Jezus nakazywał napominać tych, którzy przekraczają Boże przykazania. (…) Wiadomo, że kary nakładane przez Kościół mają mieć charakter leczący. Jednakże winowajca, który nie przyjmie werdyktu Kościoła, musi być wyłączony ze społeczności”</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 Przyjrzyjmy się teraz tym wersetom, nieco dokładniej.</w:t>
      </w:r>
    </w:p>
    <w:p>
      <w:pPr>
        <w:pStyle w:val="Heading3"/>
        <w:keepNext/>
        <w:spacing w:before="281" w:after="281"/>
        <w:jc w:val="left"/>
        <w:rPr>
          <w:rFonts w:ascii="Times New Roman" w:eastAsia="Times New Roman" w:hAnsi="Times New Roman" w:cs="Times New Roman"/>
          <w:b/>
          <w:bCs/>
          <w:noProof w:val="0"/>
          <w:szCs w:val="28"/>
        </w:rPr>
      </w:pPr>
      <w:r>
        <w:rPr>
          <w:rFonts w:ascii="Times New Roman" w:eastAsia="Times New Roman" w:hAnsi="Times New Roman" w:cs="Times New Roman"/>
          <w:noProof w:val="0"/>
          <w:sz w:val="26"/>
          <w:szCs w:val="28"/>
        </w:rPr>
        <w:t>Napomnienie braterskie (w.15)</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Ἐὰν δὲ ἁμαρτήσῃ [εἰς σὲ] ὁ ἀδελφός σου, ὕπαγε </w:t>
      </w:r>
      <w:r>
        <w:rPr>
          <w:rFonts w:ascii="Times New Roman" w:eastAsia="Times New Roman" w:hAnsi="Times New Roman" w:cs="Times New Roman"/>
          <w:b/>
          <w:bCs/>
          <w:i/>
          <w:iCs/>
          <w:noProof w:val="0"/>
          <w:sz w:val="28"/>
        </w:rPr>
        <w:t>ἔλεγξον</w:t>
      </w:r>
      <w:r>
        <w:rPr>
          <w:rFonts w:ascii="Times New Roman" w:eastAsia="Times New Roman" w:hAnsi="Times New Roman" w:cs="Times New Roman"/>
          <w:noProof w:val="0"/>
          <w:sz w:val="28"/>
        </w:rPr>
        <w:t xml:space="preserve"> αὐτὸν μεταξὺ σοῦ καὶ αὐτοῦ μόνου. ἐάν σου ἀκούσῃ, ἐκέρδησας τὸν ἀδελφόν σου.</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zaś zgrzeszyłby [przeciw tobie] brat twój, odejdź, </w:t>
      </w:r>
      <w:r>
        <w:rPr>
          <w:rFonts w:ascii="Times New Roman" w:eastAsia="Times New Roman" w:hAnsi="Times New Roman" w:cs="Times New Roman"/>
          <w:b/>
          <w:bCs/>
          <w:i/>
          <w:iCs/>
          <w:noProof w:val="0"/>
          <w:sz w:val="28"/>
        </w:rPr>
        <w:t>przekonaj</w:t>
      </w:r>
      <w:r>
        <w:rPr>
          <w:rFonts w:ascii="Times New Roman" w:eastAsia="Times New Roman" w:hAnsi="Times New Roman" w:cs="Times New Roman"/>
          <w:noProof w:val="0"/>
          <w:sz w:val="28"/>
        </w:rPr>
        <w:t xml:space="preserve"> go między tobą a nim jedynie</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 Jeśli ciebie usłucha, pozyskałeś brata twego.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Rozważając w.15 musimy wpierw sobie odpowiedzieć na pytanie, która lekcja tego tekstu jest właściwa, ta zawierająca εἰς σὲ (przeciw tobie), czy nie, a w konsekwencji, jak należy rozumieć ἁμαρτάνω; czy jest to grzech osobistej krzywdy pomiędzy braćmi, czy też występek ogólny przeciwko Bogu, zaciążający na całym zgromadzeniu. Fausti jest zdania, że „chodzi tu o grzech publiczny (zgorszenie), a nie o osobistą krzywdę”</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Przeciwnie, MacDonald wskazuje na przypadek, „gdy inny wierzący wyrządzi mu jakąś krzywdę”</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xml:space="preserve">. Z pomocą przychodzi nam kontekst, a konkretnie kolejna, następująca po naszym fragmencie przypowieść, w której Piotr pyta: Κύριε, ποσάκις ἁμαρτήσει </w:t>
      </w:r>
      <w:r>
        <w:rPr>
          <w:rFonts w:ascii="Times New Roman" w:eastAsia="Times New Roman" w:hAnsi="Times New Roman" w:cs="Times New Roman"/>
          <w:b/>
          <w:bCs/>
          <w:noProof w:val="0"/>
          <w:sz w:val="28"/>
        </w:rPr>
        <w:t>εἰς ἐμὲ</w:t>
      </w:r>
      <w:r>
        <w:rPr>
          <w:rFonts w:ascii="Times New Roman" w:eastAsia="Times New Roman" w:hAnsi="Times New Roman" w:cs="Times New Roman"/>
          <w:noProof w:val="0"/>
          <w:sz w:val="28"/>
        </w:rPr>
        <w:t xml:space="preserve"> ὁ ἀδελφός μου (Panie jak często, gdy zgrzeszy przeciwko mnie brat mój…). Piotr mówi tu o grzechu, </w:t>
      </w:r>
      <w:r>
        <w:rPr>
          <w:rFonts w:ascii="Times New Roman" w:eastAsia="Times New Roman" w:hAnsi="Times New Roman" w:cs="Times New Roman"/>
          <w:b/>
          <w:bCs/>
          <w:noProof w:val="0"/>
          <w:sz w:val="28"/>
        </w:rPr>
        <w:t>przeciwko niemu</w:t>
      </w:r>
      <w:r>
        <w:rPr>
          <w:rFonts w:ascii="Times New Roman" w:eastAsia="Times New Roman" w:hAnsi="Times New Roman" w:cs="Times New Roman"/>
          <w:noProof w:val="0"/>
          <w:sz w:val="28"/>
        </w:rPr>
        <w:t xml:space="preserve">, co może wskazywać, że braterskie napomnienie również dotyczy takiej sytuacji. Tym niemniej wdrożenie procedury szerzej, do przypadków, gdzie brat ciężko grzeszy, narażając tym samym dobre imię Kościoła, również może mieć zastosowanie – aczkolwiek czasami zwykłe napomnienie nie będzie w stanie naprawić szkód wyrządzonych przez grzech i konieczne będą dalsze kroki, które zadość uczynią, doprowadzą do pojednania i uzdrowienia sytuacji.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dla uproszczenia przyjmijmy w dalszej części rozważania, że nie będziemy rozróżniać grzechów ogólnych i krzywd braterskich, traktując je jakby na równi; choć co do zasady, mogą mieć one różny ciężar.</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 uwagę zasługuje też słowo ἔλεγξον, którego pochodzenie jest niepewne, ale w zależności od kontekstu, może oznaczać </w:t>
      </w:r>
      <w:r>
        <w:rPr>
          <w:rFonts w:ascii="Times New Roman" w:eastAsia="Times New Roman" w:hAnsi="Times New Roman" w:cs="Times New Roman"/>
          <w:i/>
          <w:iCs/>
          <w:noProof w:val="0"/>
          <w:sz w:val="28"/>
        </w:rPr>
        <w:t>uznawanie za winnego, dowodzenie błędu, krytykowanie lub strofowanie</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 xml:space="preserve">. W świetle innych tekstów J 3:20 i Ef 5:11 oznacza: </w:t>
      </w:r>
      <w:r>
        <w:rPr>
          <w:rFonts w:ascii="Times New Roman" w:eastAsia="Times New Roman" w:hAnsi="Times New Roman" w:cs="Times New Roman"/>
          <w:i/>
          <w:iCs/>
          <w:noProof w:val="0"/>
          <w:sz w:val="28"/>
        </w:rPr>
        <w:t>odkryć, obnażyć, odsłonić przez przekonanie kogoś</w:t>
      </w:r>
      <w:r>
        <w:rPr>
          <w:rFonts w:ascii="Times New Roman" w:eastAsia="Times New Roman" w:hAnsi="Times New Roman" w:cs="Times New Roman"/>
          <w:noProof w:val="0"/>
          <w:sz w:val="28"/>
        </w:rPr>
        <w:t xml:space="preserve">. A zatem owo </w:t>
      </w:r>
      <w:r>
        <w:rPr>
          <w:rFonts w:ascii="Times New Roman" w:eastAsia="Times New Roman" w:hAnsi="Times New Roman" w:cs="Times New Roman"/>
          <w:b/>
          <w:bCs/>
          <w:noProof w:val="0"/>
          <w:sz w:val="28"/>
        </w:rPr>
        <w:t>upomnienie</w:t>
      </w:r>
      <w:r>
        <w:rPr>
          <w:rFonts w:ascii="Times New Roman" w:eastAsia="Times New Roman" w:hAnsi="Times New Roman" w:cs="Times New Roman"/>
          <w:noProof w:val="0"/>
          <w:sz w:val="28"/>
        </w:rPr>
        <w:t xml:space="preserve"> – jak zazwyczaj tłumaczone jest to słowo w naszych Bibliach – nie ma charakteru „ostrej reprymendy, lecz [przekonujący] akt miłości, mający pomóc drugiej osobie zobaczyć jej przewinę”</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 Jak to ujmuje Jan Chryzostom:</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[Jezus] nie mówi: „Oskarż go”, ani: „Zgrom”, ani: „Żądaj ukarania i wyjaśnień”, lecz „Upomnij go”. On bowiem – upojony gniewem i wstydem – pozostaje jakby głęboko zamroczony. Trzeba więc, abyś ty, zdrowy, udał się do chorego, odbył sąd bez świadków i lekarstwo uczynił przyjemnym. Słowa: „Upomnij go”, nie znaczą nic innego niż tylko: „Przypomnij mu jego grzech”; powiedz mu, czegoś od niego doznał</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Upomnienie ma dokonać się sam na sam, w cztery oczy, w „osobistej rozmowie”</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r>
        <w:rPr>
          <w:rFonts w:ascii="Times New Roman" w:eastAsia="Times New Roman" w:hAnsi="Times New Roman" w:cs="Times New Roman"/>
          <w:noProof w:val="0"/>
          <w:sz w:val="28"/>
        </w:rPr>
        <w:t xml:space="preserve"> bez świadków. Zadaniem upomnienia nie jest tu przesadne skupienie się na grzechu i jego skutkach, co na postawie serca upominanego. W środowisku pozbawionym presji otoczenia, ma on uznać swój błąd przed bratem i przed Bogiem. Zależy nam na pozyskaniu brata, pomimo jego grzechu. Jezus każe zastanowić się nad naszymi pobudkami. Kościół to ciało Chrystusa. Gdy dokonujesz na nim operacji, wiedz co robisz i po co to robisz.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Jezus oczekuje od Ciebie umiejętności pedagogicznych, które sprawią, że brat-winowajca zostanie przekonany o swojej winie, przyjmie napomnienie i w ten sposób problem zostanie zduszony w zarodku, nastąpi uzdrowienie stosunków, a moc odkupieńczej ofiary Chrystusa wymaże obciążający go list dłużny.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Odpowiedzmy sobie szczerze, czy tak właśnie to wygląda w moim przypadku? Czy trzymam się mocno tego słowa Pana Jezusa?</w:t>
      </w:r>
    </w:p>
    <w:p>
      <w:pPr>
        <w:pStyle w:val="Heading3"/>
        <w:keepNext/>
        <w:spacing w:before="281" w:after="281"/>
        <w:jc w:val="left"/>
        <w:rPr>
          <w:rFonts w:ascii="Times New Roman" w:eastAsia="Times New Roman" w:hAnsi="Times New Roman" w:cs="Times New Roman"/>
          <w:b/>
          <w:bCs/>
          <w:noProof w:val="0"/>
          <w:szCs w:val="28"/>
        </w:rPr>
      </w:pPr>
      <w:r>
        <w:rPr>
          <w:rFonts w:ascii="Times New Roman" w:eastAsia="Times New Roman" w:hAnsi="Times New Roman" w:cs="Times New Roman"/>
          <w:noProof w:val="0"/>
          <w:sz w:val="26"/>
          <w:szCs w:val="28"/>
        </w:rPr>
        <w:t>Napomnienie w obecności świadków (w.16)</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ἐὰν δὲ μὴ ἀκούσῃ, παράλαβε μετὰ σοῦ ἔτι ἕνα ἢ δύο, ἵνα· </w:t>
      </w:r>
      <w:r>
        <w:rPr>
          <w:rFonts w:ascii="Times New Roman" w:eastAsia="Times New Roman" w:hAnsi="Times New Roman" w:cs="Times New Roman"/>
          <w:i/>
          <w:iCs/>
          <w:noProof w:val="0"/>
          <w:sz w:val="28"/>
        </w:rPr>
        <w:t>ἐπὶ στόματος δύο μαρτύρων ἢ τριῶν</w:t>
      </w: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σταθῇ πᾶν ῥῆμα</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zaś nie usłucha, zabierz z tobą jeszcze jednego lub dwóch, gdyż: </w:t>
      </w:r>
      <w:r>
        <w:rPr>
          <w:rFonts w:ascii="Times New Roman" w:eastAsia="Times New Roman" w:hAnsi="Times New Roman" w:cs="Times New Roman"/>
          <w:i/>
          <w:iCs/>
          <w:noProof w:val="0"/>
          <w:sz w:val="28"/>
        </w:rPr>
        <w:t>na ustach dwóch świadków lub trzech stanie cała sprawa</w:t>
      </w:r>
      <w:hyperlink w:history="1">
        <w:bookmarkStart w:id="19" w:name="ref-fn-20"/>
        <w:r>
          <w:rPr>
            <w:rFonts w:ascii="Times New Roman" w:eastAsia="Times New Roman" w:hAnsi="Times New Roman" w:cs="Times New Roman"/>
            <w:noProof w:val="0"/>
            <w:color w:val="000000"/>
            <w:sz w:val="28"/>
            <w:szCs w:val="30"/>
            <w:u w:val="none" w:color="0000EE"/>
            <w:vertAlign w:val="superscript"/>
          </w:rPr>
          <w:t>20)</w:t>
        </w:r>
      </w:hyperlink>
      <w:bookmarkEnd w:id="19"/>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Gdyby jednak brat, nie zdobył się na usłuchanie braterskiego upomnienia, to „może to być dowodem, że upominający nie ma żadnych zdolności pedagogicznych”</w:t>
      </w:r>
      <w:hyperlink w:history="1">
        <w:bookmarkStart w:id="20" w:name="ref-fn-21"/>
        <w:r>
          <w:rPr>
            <w:rFonts w:ascii="Times New Roman" w:eastAsia="Times New Roman" w:hAnsi="Times New Roman" w:cs="Times New Roman"/>
            <w:noProof w:val="0"/>
            <w:color w:val="000000"/>
            <w:sz w:val="28"/>
            <w:szCs w:val="30"/>
            <w:u w:val="none" w:color="0000EE"/>
            <w:vertAlign w:val="superscript"/>
          </w:rPr>
          <w:t>21)</w:t>
        </w:r>
      </w:hyperlink>
      <w:bookmarkEnd w:id="20"/>
      <w:r>
        <w:rPr>
          <w:rFonts w:ascii="Times New Roman" w:eastAsia="Times New Roman" w:hAnsi="Times New Roman" w:cs="Times New Roman"/>
          <w:noProof w:val="0"/>
          <w:sz w:val="28"/>
        </w:rPr>
        <w:t xml:space="preserve">, lub winowajca jest zatwardziałym grzesznikiem. Ten dylemat należy rozstrzygnąć w gronie dwóch lub trzech świadków. Już we wspólnocie Qumrańskiej, w regule zrzeszenia, znajdował się zapis: „Nikt nie będzie mówił do brata swego w gniewie (…) nie będzie go nienawidził w swoim sercu, ponieważ ma go </w:t>
      </w:r>
      <w:r>
        <w:rPr>
          <w:rFonts w:ascii="Times New Roman" w:eastAsia="Times New Roman" w:hAnsi="Times New Roman" w:cs="Times New Roman"/>
          <w:b/>
          <w:bCs/>
          <w:noProof w:val="0"/>
          <w:sz w:val="28"/>
        </w:rPr>
        <w:t>upomnieć w tym samym dniu</w:t>
      </w:r>
      <w:r>
        <w:rPr>
          <w:rFonts w:ascii="Times New Roman" w:eastAsia="Times New Roman" w:hAnsi="Times New Roman" w:cs="Times New Roman"/>
          <w:noProof w:val="0"/>
          <w:sz w:val="28"/>
        </w:rPr>
        <w:t xml:space="preserve"> (…) a nikt nie będzie go oskarżał przez Wielkimi swego towarzysza, </w:t>
      </w:r>
      <w:r>
        <w:rPr>
          <w:rFonts w:ascii="Times New Roman" w:eastAsia="Times New Roman" w:hAnsi="Times New Roman" w:cs="Times New Roman"/>
          <w:b/>
          <w:bCs/>
          <w:noProof w:val="0"/>
          <w:sz w:val="28"/>
        </w:rPr>
        <w:t>jeśli go przedtem nie napominał wobec świadków</w:t>
      </w:r>
      <w:r>
        <w:rPr>
          <w:rFonts w:ascii="Times New Roman" w:eastAsia="Times New Roman" w:hAnsi="Times New Roman" w:cs="Times New Roman"/>
          <w:noProof w:val="0"/>
          <w:sz w:val="28"/>
        </w:rPr>
        <w:t>”</w:t>
      </w:r>
      <w:hyperlink w:history="1">
        <w:bookmarkStart w:id="21" w:name="ref-fn-22"/>
        <w:r>
          <w:rPr>
            <w:rFonts w:ascii="Times New Roman" w:eastAsia="Times New Roman" w:hAnsi="Times New Roman" w:cs="Times New Roman"/>
            <w:noProof w:val="0"/>
            <w:color w:val="000000"/>
            <w:sz w:val="28"/>
            <w:szCs w:val="30"/>
            <w:u w:val="none" w:color="0000EE"/>
            <w:vertAlign w:val="superscript"/>
          </w:rPr>
          <w:t>22)</w:t>
        </w:r>
      </w:hyperlink>
      <w:bookmarkEnd w:id="21"/>
      <w:r>
        <w:rPr>
          <w:rFonts w:ascii="Times New Roman" w:eastAsia="Times New Roman" w:hAnsi="Times New Roman" w:cs="Times New Roman"/>
          <w:noProof w:val="0"/>
          <w:sz w:val="28"/>
        </w:rPr>
        <w:t>. Ewangelia sięga dalej, przywołując tekst z Pwt 19:15, gdzie „zeznanie dwóch lub trzech świadków przed żydowskim sądem uznaje się za potwierdzenie faktyczności danego wydarzenia”</w:t>
      </w:r>
      <w:hyperlink w:history="1">
        <w:bookmarkStart w:id="22" w:name="ref-fn-23"/>
        <w:r>
          <w:rPr>
            <w:rFonts w:ascii="Times New Roman" w:eastAsia="Times New Roman" w:hAnsi="Times New Roman" w:cs="Times New Roman"/>
            <w:noProof w:val="0"/>
            <w:color w:val="000000"/>
            <w:sz w:val="28"/>
            <w:szCs w:val="30"/>
            <w:u w:val="none" w:color="0000EE"/>
            <w:vertAlign w:val="superscript"/>
          </w:rPr>
          <w:t>23)</w:t>
        </w:r>
      </w:hyperlink>
      <w:bookmarkEnd w:id="22"/>
      <w:r>
        <w:rPr>
          <w:rFonts w:ascii="Times New Roman" w:eastAsia="Times New Roman" w:hAnsi="Times New Roman" w:cs="Times New Roman"/>
          <w:noProof w:val="0"/>
          <w:sz w:val="28"/>
        </w:rPr>
        <w:t>. Obecność tych braci ma stanowić świadectwo, że sprawa istotnie jest krzywdą wyrządzona bratu lub grzechem przeciwko Bogu. „Nie zawsze bowiem oskarżyciel musi mieć rację”</w:t>
      </w:r>
      <w:hyperlink w:history="1">
        <w:bookmarkStart w:id="23" w:name="ref-fn-24"/>
        <w:r>
          <w:rPr>
            <w:rFonts w:ascii="Times New Roman" w:eastAsia="Times New Roman" w:hAnsi="Times New Roman" w:cs="Times New Roman"/>
            <w:noProof w:val="0"/>
            <w:color w:val="000000"/>
            <w:sz w:val="28"/>
            <w:szCs w:val="30"/>
            <w:u w:val="none" w:color="0000EE"/>
            <w:vertAlign w:val="superscript"/>
          </w:rPr>
          <w:t>24)</w:t>
        </w:r>
      </w:hyperlink>
      <w:bookmarkEnd w:id="23"/>
      <w:r>
        <w:rPr>
          <w:rFonts w:ascii="Times New Roman" w:eastAsia="Times New Roman" w:hAnsi="Times New Roman" w:cs="Times New Roman"/>
          <w:noProof w:val="0"/>
          <w:sz w:val="28"/>
        </w:rPr>
        <w:t>. Co prawda na tym etapie tekstu, nie ma już mowy o pozyskaniu brata, ale raczej co robić w obliczu zatwardziałości jego serca. Jednakże jednocześnie rozumiemy, że na dowolnym etapie tego procesu, może dojść do pojednania, uznania winy, skruchy, pokuty i zadośćuczynienia. Zawsze istnieje możliwość, że brat uzna powagę świadków i μετανοήσῃ (zmieni swoje myślenie)</w:t>
      </w:r>
      <w:hyperlink w:history="1">
        <w:bookmarkStart w:id="24" w:name="ref-fn-25"/>
        <w:r>
          <w:rPr>
            <w:rFonts w:ascii="Times New Roman" w:eastAsia="Times New Roman" w:hAnsi="Times New Roman" w:cs="Times New Roman"/>
            <w:noProof w:val="0"/>
            <w:color w:val="000000"/>
            <w:sz w:val="28"/>
            <w:szCs w:val="30"/>
            <w:u w:val="none" w:color="0000EE"/>
            <w:vertAlign w:val="superscript"/>
          </w:rPr>
          <w:t>25)</w:t>
        </w:r>
      </w:hyperlink>
      <w:bookmarkEnd w:id="24"/>
      <w:r>
        <w:rPr>
          <w:rFonts w:ascii="Times New Roman" w:eastAsia="Times New Roman" w:hAnsi="Times New Roman" w:cs="Times New Roman"/>
          <w:noProof w:val="0"/>
          <w:sz w:val="28"/>
        </w:rPr>
        <w:t xml:space="preserve"> w tej sprawie.</w:t>
      </w:r>
    </w:p>
    <w:p>
      <w:pPr>
        <w:pStyle w:val="Heading3"/>
        <w:keepNext/>
        <w:spacing w:before="281" w:after="281"/>
        <w:jc w:val="left"/>
        <w:rPr>
          <w:rFonts w:ascii="Times New Roman" w:eastAsia="Times New Roman" w:hAnsi="Times New Roman" w:cs="Times New Roman"/>
          <w:b/>
          <w:bCs/>
          <w:noProof w:val="0"/>
          <w:szCs w:val="28"/>
        </w:rPr>
      </w:pPr>
      <w:r>
        <w:rPr>
          <w:rFonts w:ascii="Times New Roman" w:eastAsia="Times New Roman" w:hAnsi="Times New Roman" w:cs="Times New Roman"/>
          <w:noProof w:val="0"/>
          <w:sz w:val="26"/>
          <w:szCs w:val="28"/>
        </w:rPr>
        <w:t>Pozbawienie społeczności (w.17)</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ἐὰν δὲ παρακούσῃ αὐτῶν, εἰπὸν τῇ ἐκκλησίᾳ· ἐὰν δὲ καὶ τῆς ἐκκλησίας παρακούσῃ, ἔστω σοι ὥσπερ ὁ ἐθνικὸς καὶ ὁ τελώνης.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Jeśli zaś nie usłuchałby ich, powiedź zgromadzeniu; jeśli zaś i zgromadzenia nie usłuchałby, niech jest ci jak poganin i poborca [podatkowy]</w:t>
      </w:r>
      <w:hyperlink w:history="1">
        <w:bookmarkStart w:id="25" w:name="ref-fn-26"/>
        <w:r>
          <w:rPr>
            <w:rFonts w:ascii="Times New Roman" w:eastAsia="Times New Roman" w:hAnsi="Times New Roman" w:cs="Times New Roman"/>
            <w:noProof w:val="0"/>
            <w:color w:val="000000"/>
            <w:sz w:val="28"/>
            <w:szCs w:val="30"/>
            <w:u w:val="none" w:color="0000EE"/>
            <w:vertAlign w:val="superscript"/>
          </w:rPr>
          <w:t>26)</w:t>
        </w:r>
      </w:hyperlink>
      <w:bookmarkEnd w:id="2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Ostatnim krokiem zmierzającym do nawrócenia grzesznika, jest przedstawienie sprawy zgromadzeniu. Słowo ἐκκλησίᾳ jest w naszych Bibliach oddawane słowem </w:t>
      </w:r>
      <w:r>
        <w:rPr>
          <w:rFonts w:ascii="Times New Roman" w:eastAsia="Times New Roman" w:hAnsi="Times New Roman" w:cs="Times New Roman"/>
          <w:i/>
          <w:iCs/>
          <w:noProof w:val="0"/>
          <w:sz w:val="28"/>
        </w:rPr>
        <w:t>Kościół</w:t>
      </w:r>
      <w:r>
        <w:rPr>
          <w:rFonts w:ascii="Times New Roman" w:eastAsia="Times New Roman" w:hAnsi="Times New Roman" w:cs="Times New Roman"/>
          <w:noProof w:val="0"/>
          <w:sz w:val="28"/>
        </w:rPr>
        <w:t xml:space="preserve">, co automatycznie skłania do refleksji, na ile nauka Jezusa zakładała istnienie zorganizowanych struktur. U Mateusza, Kościół pojawia się dwukrotnie – tutaj i w rozmowie z Piotrem, gdzie mówi κἀγὼ δέ σοι: λέγω ὅτι σὺ εἶ Πέτρος, καὶ ἐπὶ ταύτῃ τῇ πέτρᾳ οἰκοδομήσω μου </w:t>
      </w:r>
      <w:r>
        <w:rPr>
          <w:rFonts w:ascii="Times New Roman" w:eastAsia="Times New Roman" w:hAnsi="Times New Roman" w:cs="Times New Roman"/>
          <w:b/>
          <w:bCs/>
          <w:noProof w:val="0"/>
          <w:sz w:val="28"/>
        </w:rPr>
        <w:t>τὴν ἐκκλησίαν</w:t>
      </w:r>
      <w:r>
        <w:rPr>
          <w:rFonts w:ascii="Times New Roman" w:eastAsia="Times New Roman" w:hAnsi="Times New Roman" w:cs="Times New Roman"/>
          <w:noProof w:val="0"/>
          <w:sz w:val="28"/>
        </w:rPr>
        <w:t>, καὶ πύλαι Ἅιδου οὐ κατισχύσουσιν αὐτῆς</w:t>
      </w:r>
      <w:hyperlink w:history="1">
        <w:bookmarkStart w:id="26" w:name="ref-fn-27"/>
        <w:r>
          <w:rPr>
            <w:rFonts w:ascii="Times New Roman" w:eastAsia="Times New Roman" w:hAnsi="Times New Roman" w:cs="Times New Roman"/>
            <w:noProof w:val="0"/>
            <w:color w:val="000000"/>
            <w:sz w:val="28"/>
            <w:szCs w:val="30"/>
            <w:u w:val="none" w:color="0000EE"/>
            <w:vertAlign w:val="superscript"/>
          </w:rPr>
          <w:t>27)</w:t>
        </w:r>
      </w:hyperlink>
      <w:bookmarkEnd w:id="26"/>
      <w:r>
        <w:rPr>
          <w:rFonts w:ascii="Times New Roman" w:eastAsia="Times New Roman" w:hAnsi="Times New Roman" w:cs="Times New Roman"/>
          <w:noProof w:val="0"/>
          <w:sz w:val="28"/>
        </w:rPr>
        <w:t xml:space="preserve"> (I Ja zaś tobie mówię, że ty jesteś Piotr, i na tym kamieniu zbuduję Moje zgromadzenie i bramy Hadesu nie przemogą go). Bibliści zgodni są, że w naszym tekście Jezus wskazuje na Kościół lokalny, a w 16:18 na Kościół powszechny. Pomijając kontekst historyczny czasu redakcji, można spojrzeć na ἐκκλησίᾳ podobnie jak to miało miejsce we wspólnotach Qumrańskich, jako zgromadzenie wierzących. W takich wspólnotach, </w:t>
      </w:r>
      <w:r>
        <w:rPr>
          <w:rFonts w:ascii="Times New Roman" w:eastAsia="Times New Roman" w:hAnsi="Times New Roman" w:cs="Times New Roman"/>
          <w:b/>
          <w:bCs/>
          <w:noProof w:val="0"/>
          <w:sz w:val="28"/>
        </w:rPr>
        <w:t>reguła, a nie hierarchia</w:t>
      </w:r>
      <w:r>
        <w:rPr>
          <w:rFonts w:ascii="Times New Roman" w:eastAsia="Times New Roman" w:hAnsi="Times New Roman" w:cs="Times New Roman"/>
          <w:noProof w:val="0"/>
          <w:sz w:val="28"/>
        </w:rPr>
        <w:t>, decydowała w sprawach sądowniczych. Podobnie w zgromadzeniu chrześcijańskim, istotna była reguła miłości i sprawiedliwość Chrystusa, która stanowiła soczewkę, przez którą zgromadzenie miało oceniać naganne zachowania jej członków.</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Lecz podobnie jak na pierwszym i drugim etapie, nawet najbardziej surowe działanie ma ten cel duszpasterski: </w:t>
      </w:r>
      <w:r>
        <w:rPr>
          <w:rFonts w:ascii="Times New Roman" w:eastAsia="Times New Roman" w:hAnsi="Times New Roman" w:cs="Times New Roman"/>
          <w:b/>
          <w:bCs/>
          <w:noProof w:val="0"/>
          <w:sz w:val="28"/>
        </w:rPr>
        <w:t>obudzić grzesznika</w:t>
      </w:r>
      <w:r>
        <w:rPr>
          <w:rFonts w:ascii="Times New Roman" w:eastAsia="Times New Roman" w:hAnsi="Times New Roman" w:cs="Times New Roman"/>
          <w:noProof w:val="0"/>
          <w:sz w:val="28"/>
        </w:rPr>
        <w:t xml:space="preserve"> przez pokazanie mu, że </w:t>
      </w:r>
      <w:r>
        <w:rPr>
          <w:rFonts w:ascii="Times New Roman" w:eastAsia="Times New Roman" w:hAnsi="Times New Roman" w:cs="Times New Roman"/>
          <w:b/>
          <w:bCs/>
          <w:noProof w:val="0"/>
          <w:sz w:val="28"/>
        </w:rPr>
        <w:t>jego czyny postawiły go poza wspólnotą wiernych</w:t>
      </w:r>
      <w:r>
        <w:rPr>
          <w:rFonts w:ascii="Times New Roman" w:eastAsia="Times New Roman" w:hAnsi="Times New Roman" w:cs="Times New Roman"/>
          <w:noProof w:val="0"/>
          <w:sz w:val="28"/>
        </w:rPr>
        <w:t>. Czyni się tak w nadziei, że osoba ta zostanie przez to pociągnięta do skruchy i pojednania (zob. 1Kor 5:1-5)</w:t>
      </w:r>
      <w:hyperlink w:history="1">
        <w:bookmarkStart w:id="27" w:name="ref-fn-28"/>
        <w:r>
          <w:rPr>
            <w:rFonts w:ascii="Times New Roman" w:eastAsia="Times New Roman" w:hAnsi="Times New Roman" w:cs="Times New Roman"/>
            <w:noProof w:val="0"/>
            <w:color w:val="000000"/>
            <w:sz w:val="28"/>
            <w:szCs w:val="30"/>
            <w:u w:val="none" w:color="0000EE"/>
            <w:vertAlign w:val="superscript"/>
          </w:rPr>
          <w:t>28)</w:t>
        </w:r>
      </w:hyperlink>
      <w:bookmarkEnd w:id="27"/>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Najbardziej oczywistym wytłumaczeniem tego, [że taki brat ma być traktowany jak poganin i celnik] jest to, że powinien być postrzegany tak, jakby był na zewnątrz kościoła [lokalnego]. Chociaż może być prawdziwie wierzącym, to jednak nie postępuje jakby nim był i z tego względu powinien być odpowiednio traktowany. Pomimo tego, że ciągle jest częścią uniwersalnego Kościoła, to zostaje odsunięty od przywilejów kościoła lokalnego</w:t>
      </w:r>
      <w:hyperlink w:history="1">
        <w:bookmarkStart w:id="28" w:name="ref-fn-29"/>
        <w:r>
          <w:rPr>
            <w:rFonts w:ascii="Times New Roman" w:eastAsia="Times New Roman" w:hAnsi="Times New Roman" w:cs="Times New Roman"/>
            <w:noProof w:val="0"/>
            <w:color w:val="000000"/>
            <w:sz w:val="28"/>
            <w:szCs w:val="30"/>
            <w:u w:val="none" w:color="0000EE"/>
            <w:vertAlign w:val="superscript"/>
          </w:rPr>
          <w:t>29)</w:t>
        </w:r>
      </w:hyperlink>
      <w:bookmarkEnd w:id="28"/>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Kościół miał traktować nieustępliwego grzesznika, podobnie jak Żydzi traktowali τελῶναι (celników). Taka osoba z racji urodzenia była i pozostawała Żydem, ale społeczeństwo, wyraźnie dawało do zrozumienia, że jego postawa życiowa, nie może być akceptowana. Stwierdzenie ἐθνικὸς (poganin, cudzoziemiec, człowiek z narodów), odnosi się do konieczności ograniczenia kontaktów do niezbędnego minimum, gdyż jak wiemy, żydzi nie utrzymywali kontaktów z osobami spoza narodu wybranego. Należy zauważyć, że oba stwierdzenia, nie są pochwałą ksenofobii, a raczej obrazowym przykładem, dobrze rozumianym przez słuchaczy i czytelników Ewangelii. Jezus wielokrotnie wykazywał swoją troskę o zbawienie celników, a po swoim zmartwychwstaniu, wezwał swoich uczniów do ogłoszenia Ewangelii </w:t>
      </w:r>
      <w:r>
        <w:rPr>
          <w:rFonts w:ascii="Times New Roman" w:eastAsia="Times New Roman" w:hAnsi="Times New Roman" w:cs="Times New Roman"/>
          <w:i/>
          <w:iCs/>
          <w:noProof w:val="0"/>
          <w:sz w:val="28"/>
        </w:rPr>
        <w:t>wszystkim narodom</w:t>
      </w:r>
      <w:r>
        <w:rPr>
          <w:rFonts w:ascii="Times New Roman" w:eastAsia="Times New Roman" w:hAnsi="Times New Roman" w:cs="Times New Roman"/>
          <w:noProof w:val="0"/>
          <w:sz w:val="28"/>
        </w:rPr>
        <w:t>.</w:t>
      </w:r>
    </w:p>
    <w:p>
      <w:pPr>
        <w:pStyle w:val="Heading3"/>
        <w:keepNext/>
        <w:spacing w:before="281" w:after="281"/>
        <w:jc w:val="left"/>
        <w:rPr>
          <w:rFonts w:ascii="Times New Roman" w:eastAsia="Times New Roman" w:hAnsi="Times New Roman" w:cs="Times New Roman"/>
          <w:b/>
          <w:bCs/>
          <w:noProof w:val="0"/>
          <w:szCs w:val="28"/>
        </w:rPr>
      </w:pPr>
      <w:r>
        <w:rPr>
          <w:rFonts w:ascii="Times New Roman" w:eastAsia="Times New Roman" w:hAnsi="Times New Roman" w:cs="Times New Roman"/>
          <w:noProof w:val="0"/>
          <w:sz w:val="26"/>
          <w:szCs w:val="28"/>
        </w:rPr>
        <w:t>Rola Kościoła (w.18-20)</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Ἀμὴν λέγω ὑμῖν, ὅσα ἐὰν δήσητε ἐπὶ τῆς γῆς ἔσται δεδεμένα ἐν οὐρανῷ, καὶ ὅσα ἐὰν λύσητε ἐπὶ τῆς γῆς ἔσται λελυμένα ἐν οὐρανῷ. Πάλιν ἀμὴν λέγω ὑμῖν ὅτι ἐὰν δύο συμφωνήσωσιν ἐξ ὑμῶν ἐπὶ τῆς γῆς περὶ παντὸς πράγματος οὗ ἐὰν αἰτήσωνται, γενήσεται αὐτοῖς παρὰ τοῦ Πατρός μου τοῦ ἐν οὐρανοῖς. οὗ γάρ εἰσιν δύο ἢ τρεῖς συνηγμένοι εἰς τὸ ἐμὸν ὄνομα, ἐκεῖ εἰμι ἐν μέσῳ αὐτῶν.</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Amen mówię wam, ilekolwiek związalibyście na ziemi, będzie związane w niebie, a ilekolwiek rozwiązalibyście na ziemi, będzie rozwiązane w niebie. Znów amen mówię wam, że jeśli dwóch zgodziliby się z was na ziemi co do każdej sprawy, jeśli prosiliby, stanie się im, przez Ojca Mego w niebiosach. Gdzie bowiem jest dwóch lub trzech zebranych w Moje imię, tam jestem w środku nich</w:t>
      </w:r>
      <w:hyperlink w:history="1">
        <w:bookmarkStart w:id="29" w:name="ref-fn-30"/>
        <w:r>
          <w:rPr>
            <w:rFonts w:ascii="Times New Roman" w:eastAsia="Times New Roman" w:hAnsi="Times New Roman" w:cs="Times New Roman"/>
            <w:noProof w:val="0"/>
            <w:color w:val="000000"/>
            <w:sz w:val="28"/>
            <w:szCs w:val="30"/>
            <w:u w:val="none" w:color="0000EE"/>
            <w:vertAlign w:val="superscript"/>
          </w:rPr>
          <w:t>30)</w:t>
        </w:r>
      </w:hyperlink>
      <w:bookmarkEnd w:id="29"/>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Słowa wersetów 18-20, pozbawione swojego kontekstu, mogą być przedmiotem wielu nadinterpretacji. Między innymi te wersety, są używane, by uzasadnić praktykę kościołów charyzmatycznych do związywania mocy demonicznych, duchów ubóstwa, chorób itp. Jak to tłumaczy MacArthur:</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Wyrażenia „związane w niebie" i „rozwiązane w niebie” były </w:t>
      </w:r>
      <w:r>
        <w:rPr>
          <w:rFonts w:ascii="Times New Roman" w:eastAsia="Times New Roman" w:hAnsi="Times New Roman" w:cs="Times New Roman"/>
          <w:i/>
          <w:iCs/>
          <w:noProof w:val="0"/>
          <w:sz w:val="28"/>
        </w:rPr>
        <w:t>wyrażeniami rabinicznymi</w:t>
      </w:r>
      <w:r>
        <w:rPr>
          <w:rFonts w:ascii="Times New Roman" w:eastAsia="Times New Roman" w:hAnsi="Times New Roman" w:cs="Times New Roman"/>
          <w:noProof w:val="0"/>
          <w:sz w:val="28"/>
        </w:rPr>
        <w:t xml:space="preserve">, które mówiły odpowiednio o czynach </w:t>
      </w:r>
      <w:r>
        <w:rPr>
          <w:rFonts w:ascii="Times New Roman" w:eastAsia="Times New Roman" w:hAnsi="Times New Roman" w:cs="Times New Roman"/>
          <w:b/>
          <w:bCs/>
          <w:noProof w:val="0"/>
          <w:sz w:val="28"/>
        </w:rPr>
        <w:t>zabronionych lub dozwolonych</w:t>
      </w:r>
      <w:r>
        <w:rPr>
          <w:rFonts w:ascii="Times New Roman" w:eastAsia="Times New Roman" w:hAnsi="Times New Roman" w:cs="Times New Roman"/>
          <w:noProof w:val="0"/>
          <w:sz w:val="28"/>
        </w:rPr>
        <w:t xml:space="preserve"> w świetle prawdy Bożej. W tym kontekście znaczenie słów Pana jest jasne. Kiedy Kościół postępuje zgodnie z biblijną procedurą dyscypliny Kościoła, jego werdykt pozostaje w harmonii z objawioną wolą Boga. W konsekwencji Kościoły, które ekskomunikują zatwardziałych członków po zastosowaniu odpowiedniego procesu dyscypliny, mogą być spokojne o to, że ich czyny spotkają się z autorytatywną aprobatą Boga. </w:t>
      </w:r>
      <w:r>
        <w:rPr>
          <w:rFonts w:ascii="Times New Roman" w:eastAsia="Times New Roman" w:hAnsi="Times New Roman" w:cs="Times New Roman"/>
          <w:i/>
          <w:iCs/>
          <w:noProof w:val="0"/>
          <w:sz w:val="28"/>
        </w:rPr>
        <w:t>Dyscyplina Kościelna jest więc ziemskim wyrazem świętości nieba</w:t>
      </w:r>
      <w:hyperlink w:history="1">
        <w:bookmarkStart w:id="30" w:name="ref-fn-31"/>
        <w:r>
          <w:rPr>
            <w:rFonts w:ascii="Times New Roman" w:eastAsia="Times New Roman" w:hAnsi="Times New Roman" w:cs="Times New Roman"/>
            <w:noProof w:val="0"/>
            <w:color w:val="000000"/>
            <w:sz w:val="28"/>
            <w:szCs w:val="30"/>
            <w:u w:val="none" w:color="0000EE"/>
            <w:vertAlign w:val="superscript"/>
          </w:rPr>
          <w:t>31)</w:t>
        </w:r>
      </w:hyperlink>
      <w:bookmarkEnd w:id="30"/>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tym kontekście, παντὸς πράγματος (każda sprawa) z wersetu 19, nie jest dowolną kwestią, jakąkolwiek sprawą, ale każdą sprawą, którą zajmie się Kościół, realizując powyższą procedurę. Jezus obiecuje w wersecie 20, że będzie obecny pośród tych dwóch lub trzech spośród starszych, którzy podejmują decyzję o przyłączeniu lub odłączeniu członka Kościoła lokalnego. Słowa ostatniego wersu perykopy, bywają rozumiane uniwersalnie jako zapewnienie, że Jezus jest obecny pośród choćby dwóch lub trzech, którzy uznają Go za swojego Pana i Zbawiciela</w:t>
      </w:r>
      <w:hyperlink w:history="1">
        <w:bookmarkStart w:id="31" w:name="ref-fn-32"/>
        <w:r>
          <w:rPr>
            <w:rFonts w:ascii="Times New Roman" w:eastAsia="Times New Roman" w:hAnsi="Times New Roman" w:cs="Times New Roman"/>
            <w:noProof w:val="0"/>
            <w:color w:val="000000"/>
            <w:sz w:val="28"/>
            <w:szCs w:val="30"/>
            <w:u w:val="none" w:color="0000EE"/>
            <w:vertAlign w:val="superscript"/>
          </w:rPr>
          <w:t>32)</w:t>
        </w:r>
      </w:hyperlink>
      <w:bookmarkEnd w:id="31"/>
      <w:r>
        <w:rPr>
          <w:rFonts w:ascii="Times New Roman" w:eastAsia="Times New Roman" w:hAnsi="Times New Roman" w:cs="Times New Roman"/>
          <w:noProof w:val="0"/>
          <w:sz w:val="28"/>
        </w:rPr>
        <w:t>, jednakże należy pamiętać, że nie jest to intencją Mateuszowej narracji – tak bo przecież Mateusz i wszyscy ewangeliści, nie byli historykami czy skrybami, ale nauczycielami, przekazicielami Chrystusowej Ewangelii. Ich Ewangelia ma cel, każdy jej fragment ma nas czegoś nauczyć</w:t>
      </w:r>
      <w:hyperlink w:history="1">
        <w:bookmarkStart w:id="32" w:name="ref-fn-33"/>
        <w:r>
          <w:rPr>
            <w:rFonts w:ascii="Times New Roman" w:eastAsia="Times New Roman" w:hAnsi="Times New Roman" w:cs="Times New Roman"/>
            <w:noProof w:val="0"/>
            <w:color w:val="000000"/>
            <w:sz w:val="28"/>
            <w:szCs w:val="30"/>
            <w:u w:val="none" w:color="0000EE"/>
            <w:vertAlign w:val="superscript"/>
          </w:rPr>
          <w:t>33)</w:t>
        </w:r>
      </w:hyperlink>
      <w:bookmarkEnd w:id="32"/>
      <w:r>
        <w:rPr>
          <w:rFonts w:ascii="Times New Roman" w:eastAsia="Times New Roman" w:hAnsi="Times New Roman" w:cs="Times New Roman"/>
          <w:noProof w:val="0"/>
          <w:sz w:val="28"/>
        </w:rPr>
        <w:t>. Czego zatem mamy się nauczyć?</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Aspekt kerygmatyczny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Troskę duszpasterską, zakładającą wyciągniecie surowych konsekwencji, należy rozważać w kontekście wiecznego zbawienia brata, który zgrzeszył przeciwko drugiemu lub przykazaniu. W jednym ze swoich kazań, Augustyn z Hippony słusznie zapytał: „Być może mówisz sobie: «Bóg obiecał mi przebaczenie, gdy się poprawię (…) Bóg przebaczy mi moje złe [uczynki] ». Cóż ja na to powiem? (…) Dobrze mówisz i mówisz prawdę. Nie mogę zaprzeczyć: Bóg obiecał odpuszczenie [w razie] twojej poprawy. Powiedz mi jednak, proszę cię (…), </w:t>
      </w:r>
      <w:r>
        <w:rPr>
          <w:rFonts w:ascii="Times New Roman" w:eastAsia="Times New Roman" w:hAnsi="Times New Roman" w:cs="Times New Roman"/>
          <w:b/>
          <w:bCs/>
          <w:noProof w:val="0"/>
          <w:sz w:val="28"/>
          <w:u w:val="single"/>
        </w:rPr>
        <w:t>kto ci obiecał jutrzejszy dzień</w:t>
      </w:r>
      <w:r>
        <w:rPr>
          <w:rFonts w:ascii="Times New Roman" w:eastAsia="Times New Roman" w:hAnsi="Times New Roman" w:cs="Times New Roman"/>
          <w:noProof w:val="0"/>
          <w:sz w:val="28"/>
        </w:rPr>
        <w:t>?”</w:t>
      </w:r>
      <w:hyperlink w:history="1">
        <w:bookmarkStart w:id="33" w:name="ref-fn-34"/>
        <w:r>
          <w:rPr>
            <w:rFonts w:ascii="Times New Roman" w:eastAsia="Times New Roman" w:hAnsi="Times New Roman" w:cs="Times New Roman"/>
            <w:noProof w:val="0"/>
            <w:color w:val="000000"/>
            <w:sz w:val="28"/>
            <w:szCs w:val="30"/>
            <w:u w:val="none" w:color="0000EE"/>
            <w:vertAlign w:val="superscript"/>
          </w:rPr>
          <w:t>34)</w:t>
        </w:r>
      </w:hyperlink>
      <w:bookmarkEnd w:id="33"/>
      <w:r>
        <w:rPr>
          <w:rFonts w:ascii="Times New Roman" w:eastAsia="Times New Roman" w:hAnsi="Times New Roman" w:cs="Times New Roman"/>
          <w:noProof w:val="0"/>
          <w:sz w:val="28"/>
        </w:rPr>
        <w:t>. Istotnie więc, szybkie i stanowcze rozprawianie się z grzechem należy postrzegać jako szansę na uratowanie życia wiecznego, a nie jedynie jako rozwiązanie doraźnych problemów.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Praktyka wykluczenia, już na początku istnienia zborów baptystycznych na terenach Polski Kongresowej, miała miejsce i paradoksalnie, nie była przyczyną jakiegoś kryzysu, ale widocznego wzrostu.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Zbory baptystyczne w Polsce Kongresowej stosowały środki dyscyplinarne wobec swoich błądzących członków, a procent wykluczeń był wysoki. W 1864 roku, gdy ilość członków dochodziła tylko do 300, [Gotfryd Fryderyk] Alf wspomina o dyscyplinarnym </w:t>
      </w:r>
      <w:r>
        <w:rPr>
          <w:rFonts w:ascii="Times New Roman" w:eastAsia="Times New Roman" w:hAnsi="Times New Roman" w:cs="Times New Roman"/>
          <w:b/>
          <w:bCs/>
          <w:noProof w:val="0"/>
          <w:sz w:val="28"/>
        </w:rPr>
        <w:t>wykluczeniu 42 członków</w:t>
      </w:r>
      <w:r>
        <w:rPr>
          <w:rFonts w:ascii="Times New Roman" w:eastAsia="Times New Roman" w:hAnsi="Times New Roman" w:cs="Times New Roman"/>
          <w:noProof w:val="0"/>
          <w:sz w:val="28"/>
        </w:rPr>
        <w:t xml:space="preserve">, którzy odpadli do „poprzedniej niewiary i przesądu” lub wpadli „w sieci szatana”. W Mrozach w 1864 roku wykluczono dziewięć osób z powodu picia wódki. W Żyrardowie kliku nowo nawróconych wyłączono z powodu obojętności i braku aktywności. </w:t>
      </w:r>
      <w:r>
        <w:rPr>
          <w:rFonts w:ascii="Times New Roman" w:eastAsia="Times New Roman" w:hAnsi="Times New Roman" w:cs="Times New Roman"/>
          <w:b/>
          <w:bCs/>
          <w:noProof w:val="0"/>
          <w:sz w:val="28"/>
        </w:rPr>
        <w:t>Taka surowość nie tylko nie ograniczyła rozwoju, ale go przyspieszyła</w:t>
      </w:r>
      <w:hyperlink w:history="1">
        <w:bookmarkStart w:id="34" w:name="ref-fn-35"/>
        <w:r>
          <w:rPr>
            <w:rFonts w:ascii="Times New Roman" w:eastAsia="Times New Roman" w:hAnsi="Times New Roman" w:cs="Times New Roman"/>
            <w:noProof w:val="0"/>
            <w:color w:val="000000"/>
            <w:sz w:val="28"/>
            <w:szCs w:val="30"/>
            <w:u w:val="none" w:color="0000EE"/>
            <w:vertAlign w:val="superscript"/>
          </w:rPr>
          <w:t>35)</w:t>
        </w:r>
      </w:hyperlink>
      <w:bookmarkEnd w:id="3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Dlaczego taki mechanizm może działać pozytywnie? Po pierwsze członkowie Kościoła lokalnego widzą, że </w:t>
      </w:r>
      <w:r>
        <w:rPr>
          <w:rFonts w:ascii="Times New Roman" w:eastAsia="Times New Roman" w:hAnsi="Times New Roman" w:cs="Times New Roman"/>
          <w:b/>
          <w:bCs/>
          <w:noProof w:val="0"/>
          <w:sz w:val="28"/>
        </w:rPr>
        <w:t>zasady Pisma Świętego, są naprawdę istotne</w:t>
      </w:r>
      <w:r>
        <w:rPr>
          <w:rFonts w:ascii="Times New Roman" w:eastAsia="Times New Roman" w:hAnsi="Times New Roman" w:cs="Times New Roman"/>
          <w:noProof w:val="0"/>
          <w:sz w:val="28"/>
        </w:rPr>
        <w:t>; że nie są suchą literą prawa, ale żywą praktyką wiary. Wpływa to otrzeźwiająco na tych, którzy balansują na krawędzi grzechu</w:t>
      </w:r>
      <w:hyperlink w:history="1">
        <w:bookmarkStart w:id="35" w:name="ref-fn-36"/>
        <w:r>
          <w:rPr>
            <w:rFonts w:ascii="Times New Roman" w:eastAsia="Times New Roman" w:hAnsi="Times New Roman" w:cs="Times New Roman"/>
            <w:noProof w:val="0"/>
            <w:color w:val="000000"/>
            <w:sz w:val="28"/>
            <w:szCs w:val="30"/>
            <w:u w:val="none" w:color="0000EE"/>
            <w:vertAlign w:val="superscript"/>
          </w:rPr>
          <w:t>36)</w:t>
        </w:r>
      </w:hyperlink>
      <w:bookmarkEnd w:id="35"/>
      <w:r>
        <w:rPr>
          <w:rFonts w:ascii="Times New Roman" w:eastAsia="Times New Roman" w:hAnsi="Times New Roman" w:cs="Times New Roman"/>
          <w:noProof w:val="0"/>
          <w:sz w:val="28"/>
        </w:rPr>
        <w:t>. Troska duszpasterska przestaje być postrzegana jako coś zupełnie niezobowiązującego, bo równie dobrze może się okazać pierwszym krokiem kościelnej dyscypliny. Jak to ujmuje „Westminsterskie Wyznanie Wiary”: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Kościelne wyroki dyscyplinarne są konieczne dla odzyskiwania i pozyskiwania gorszących braci, dla odstraszania innych od podobnych zgorszeń, dla usuwania owego kwasu, który mógłby cały zaczyn zakwasić, dla obrony czci Chrystusa oraz świętego wyznania ewangelii, a także dla zapobiegania gniewowi Bożemu, który sprawiedliwie mógłby spaść na Kościół, jeśli ten tolerowałby profanowanie Jego przymierza i pieczęci tegoż przez notorycznych i upartych sprawców zgorszenia</w:t>
      </w:r>
      <w:hyperlink w:history="1">
        <w:bookmarkStart w:id="36" w:name="ref-fn-37"/>
        <w:r>
          <w:rPr>
            <w:rFonts w:ascii="Times New Roman" w:eastAsia="Times New Roman" w:hAnsi="Times New Roman" w:cs="Times New Roman"/>
            <w:noProof w:val="0"/>
            <w:color w:val="000000"/>
            <w:sz w:val="28"/>
            <w:szCs w:val="30"/>
            <w:u w:val="none" w:color="0000EE"/>
            <w:vertAlign w:val="superscript"/>
          </w:rPr>
          <w:t>37)</w:t>
        </w:r>
      </w:hyperlink>
      <w:bookmarkEnd w:id="36"/>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Warto zwrócić uwagę na jeszcze jeden czynnik wyszczególniony przez MacArthura: „Celem takiego działania nie jest [jedynie] ukaranie grzesznika lub całkowite unikanie go, a raczej odsunięcie tego, który może mieć </w:t>
      </w:r>
      <w:r>
        <w:rPr>
          <w:rFonts w:ascii="Times New Roman" w:eastAsia="Times New Roman" w:hAnsi="Times New Roman" w:cs="Times New Roman"/>
          <w:b/>
          <w:bCs/>
          <w:noProof w:val="0"/>
          <w:sz w:val="28"/>
        </w:rPr>
        <w:t>szkodliwy wpływ na wspólnotę</w:t>
      </w:r>
      <w:r>
        <w:rPr>
          <w:rFonts w:ascii="Times New Roman" w:eastAsia="Times New Roman" w:hAnsi="Times New Roman" w:cs="Times New Roman"/>
          <w:noProof w:val="0"/>
          <w:sz w:val="28"/>
        </w:rPr>
        <w:t>”</w:t>
      </w:r>
      <w:hyperlink w:history="1">
        <w:bookmarkStart w:id="37" w:name="ref-fn-38"/>
        <w:r>
          <w:rPr>
            <w:rFonts w:ascii="Times New Roman" w:eastAsia="Times New Roman" w:hAnsi="Times New Roman" w:cs="Times New Roman"/>
            <w:noProof w:val="0"/>
            <w:color w:val="000000"/>
            <w:sz w:val="28"/>
            <w:szCs w:val="30"/>
            <w:u w:val="none" w:color="0000EE"/>
            <w:vertAlign w:val="superscript"/>
          </w:rPr>
          <w:t>38)</w:t>
        </w:r>
      </w:hyperlink>
      <w:bookmarkEnd w:id="37"/>
      <w:r>
        <w:rPr>
          <w:rFonts w:ascii="Times New Roman" w:eastAsia="Times New Roman" w:hAnsi="Times New Roman" w:cs="Times New Roman"/>
          <w:noProof w:val="0"/>
          <w:sz w:val="28"/>
        </w:rPr>
        <w:t>. Aspekt ochronny tej procedury, może być chętnie ignorowany, co może doprowadzić do licznych kryzysów. Wówczas problemem staje się nie tyle sam grzech takiej osoby, co bierność przywódców Kościoła lokalnego, którzy za cenę „świętego spokoju” i w imię źle pojętej miłości, szargają dobre imię swojej wspólnoty i narażają słabszych w wierze, na popadnięcie w podobne lub gorsze grzechy</w:t>
      </w:r>
      <w:hyperlink w:history="1">
        <w:bookmarkStart w:id="38" w:name="ref-fn-39"/>
        <w:r>
          <w:rPr>
            <w:rFonts w:ascii="Times New Roman" w:eastAsia="Times New Roman" w:hAnsi="Times New Roman" w:cs="Times New Roman"/>
            <w:noProof w:val="0"/>
            <w:color w:val="000000"/>
            <w:sz w:val="28"/>
            <w:szCs w:val="30"/>
            <w:u w:val="none" w:color="0000EE"/>
            <w:vertAlign w:val="superscript"/>
          </w:rPr>
          <w:t>39)</w:t>
        </w:r>
      </w:hyperlink>
      <w:bookmarkEnd w:id="38"/>
      <w:r>
        <w:rPr>
          <w:rFonts w:ascii="Times New Roman" w:eastAsia="Times New Roman" w:hAnsi="Times New Roman" w:cs="Times New Roman"/>
          <w:noProof w:val="0"/>
          <w:sz w:val="28"/>
        </w:rPr>
        <w:t>. Przy tej okazji, należy poruszyć kwestię erozji pojęcia członkostwa w naszych zborach nurtu ewangelikalnego</w:t>
      </w:r>
      <w:hyperlink w:history="1">
        <w:bookmarkStart w:id="39" w:name="ref-fn-40"/>
        <w:r>
          <w:rPr>
            <w:rFonts w:ascii="Times New Roman" w:eastAsia="Times New Roman" w:hAnsi="Times New Roman" w:cs="Times New Roman"/>
            <w:noProof w:val="0"/>
            <w:color w:val="000000"/>
            <w:sz w:val="28"/>
            <w:szCs w:val="30"/>
            <w:u w:val="none" w:color="0000EE"/>
            <w:vertAlign w:val="superscript"/>
          </w:rPr>
          <w:t>40)</w:t>
        </w:r>
      </w:hyperlink>
      <w:bookmarkEnd w:id="39"/>
      <w:r>
        <w:rPr>
          <w:rFonts w:ascii="Times New Roman" w:eastAsia="Times New Roman" w:hAnsi="Times New Roman" w:cs="Times New Roman"/>
          <w:noProof w:val="0"/>
          <w:sz w:val="28"/>
        </w:rPr>
        <w:t>. Należałoby się zastanowić nad tym, jak traktowane są osoby będące członkami zboru; czy są zauważalnie bardziej wspierane i wyróżniane niż goście i sympatycy; czy są objęte opieką i pomocą w wieloaspektowych, trudnych sytuacjach, czy faktycznie współdecydują w sprawach kluczowych dla Kościoła lokalnego.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Zupełnie osobną kwestią jest chaos doktrynalny, coraz mocniej dostrzegalny we wszystkich denominacjach chrześcijaństwa. Aby utrzymać dyscyplinę Kościelną, należy wpierw zdefiniować, co uważane jest za grzech wymagający tej procedury. To właśnie zbory o takim jak naszym i waszym, kongregacjonalnym modelu funkcjonowania, mają najbardziej bezpośredni wpływ na praktykę i dyscyplinę. Pytanie, czy wykorzystamy tę przewagę nad bezwładnością systemu dużych, hierarchicznych modeli eklezjalnych; czy będziemy skłonni do skodyfikowania w ramach wyznania wiary lub innych aktów prawnych, postaw i zachowań nieakceptowalnych, czy też będąc wrogami legalizmu, dokonywać będziemy działań </w:t>
      </w:r>
      <w:r>
        <w:rPr>
          <w:rFonts w:ascii="Times New Roman" w:eastAsia="Times New Roman" w:hAnsi="Times New Roman" w:cs="Times New Roman"/>
          <w:i/>
          <w:iCs/>
          <w:noProof w:val="0"/>
          <w:sz w:val="28"/>
        </w:rPr>
        <w:t>ad hoc</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Drugą ważną kwestią jest edukacja wewnątrz kościelna, co do sposobu postępowania w takich sytuacjach. Czy nauczanie zmierza w tym kierunku, aby problemy pomiędzy wierzącymi oraz grzechy publiczne, obejmować Mateuszową procedurą, czy też istnieje praktyka „donosicielstwa”, gdzie cały ciężar upominania jest wyłączną prerogatywą pastorską lub rady zboru. Należy zadać pytanie, na ile sprawiedliwość jest balansowana przez braterską miłość i jaki ma to wyraz w uczniostwie prowadzonym w Kościele. Te i wiele innych pytań, Kościoły lokalne i ich wyższe struktury, powinny wciąż na nowo sobie zadawać, aby w porę reagować na nowe zagrożenia dla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Wreszcie jako poszczególni chrześcijanie, musimy sobie zadać pytanie: czy wiemy, kiedy należy kogoś napomnieć; czy mamy odwagę to zrobić; czy kierują nami właściwe pobudki, a może zaczynamy plotkować o całej sprawie, mówiąc o problemach wszystkim, tylko nie tym, kogo one dotyczą a może jesteśmy typem </w:t>
      </w:r>
      <w:r>
        <w:rPr>
          <w:rFonts w:ascii="Times New Roman" w:eastAsia="Times New Roman" w:hAnsi="Times New Roman" w:cs="Times New Roman"/>
          <w:i/>
          <w:iCs/>
          <w:noProof w:val="0"/>
          <w:sz w:val="28"/>
        </w:rPr>
        <w:t>donosiciela</w:t>
      </w:r>
      <w:r>
        <w:rPr>
          <w:rFonts w:ascii="Times New Roman" w:eastAsia="Times New Roman" w:hAnsi="Times New Roman" w:cs="Times New Roman"/>
          <w:noProof w:val="0"/>
          <w:sz w:val="28"/>
        </w:rPr>
        <w:t xml:space="preserve">, który biegnie na skargę do pastora, zamiast samemu dojrzale zmierzyć się z problemem. Istnieje pokusa, żeby postrzegać się jako ofiara, która ma prawo do swoich emocji. Ale jeżeli rzeczywiście Chrystus jest w nas, jeżeli naprawdę narodziliśmy się na nowo, to nasza nowa natura daje nam przewagę na tym zepsutym, grzesznym pokoleniem. Mamy tę </w:t>
      </w:r>
      <w:r>
        <w:rPr>
          <w:rFonts w:ascii="Times New Roman" w:eastAsia="Times New Roman" w:hAnsi="Times New Roman" w:cs="Times New Roman"/>
          <w:i/>
          <w:iCs/>
          <w:noProof w:val="0"/>
          <w:sz w:val="28"/>
        </w:rPr>
        <w:t>mądrość zstępującą z góry</w:t>
      </w:r>
      <w:r>
        <w:rPr>
          <w:rFonts w:ascii="Times New Roman" w:eastAsia="Times New Roman" w:hAnsi="Times New Roman" w:cs="Times New Roman"/>
          <w:noProof w:val="0"/>
          <w:sz w:val="28"/>
        </w:rPr>
        <w:t>, o której mówi Jakub, w której możemy działać niejako w zastępstwie Chrystusa.</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dobie negowania wielu wartości etyczno-moralnych oraz zmiany znaczenia podstawowych pojęć, współczesny Kościół musi przypominać sobie i umacniać wartości, na których jest ufundowany. Te wartości znajdują swoje źródło w osobie Jezusa Chrystusa, Jego nauczaniu oraz w nauczaniu apostolskim pierwszego Kościoła. To właśnie na tych fundamentach Kościół buduje swoją egzystencję i zobowiązanie wobec ludzi i Boga, by wciąż pozostawać „światłem świata” i „solą ziemi”. Brak działań duszpasterskich i dyscyplinarnych bywa ucieczką od odpowiedzialności, zarówno na poziomie poszczególnych członków, jak i całych wspólnot. Właściwe nauczanie w tym zakresie, odwaga w stosowaniu i egzekwowaniu Bożego Słowa, są nieodzowne by istotnie, πύλαι Ἅιδου οὐ κατισχύσουσιν (bramy Hadesu nie przemogły) Kościoła, którego jesteśmy częścią.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 to wielkie wyzwanie dla ciebie i dla mnie. Mamy prosty wybór: czy będziemy działać w typowy, polski sposób, uciekając się do narzekań, obmowy, oczerniania, jątrzenia i dzielenia; czy też na sposób Boży przez nauczanie, przekonywanie, strofowanie, upominanie grzesznika, a gdy to nie pomoże, skorzystanie z dalszej pomocy. </w:t>
      </w:r>
      <w:r>
        <w:rPr>
          <w:rFonts w:ascii="Times New Roman" w:eastAsia="Times New Roman" w:hAnsi="Times New Roman" w:cs="Times New Roman"/>
          <w:b/>
          <w:bCs/>
          <w:noProof w:val="0"/>
          <w:sz w:val="28"/>
        </w:rPr>
        <w:t>Czas, żeby każdy z nas zaczął stosować Boże Słowo.</w:t>
      </w:r>
      <w:r>
        <w:rPr>
          <w:rFonts w:ascii="Times New Roman" w:eastAsia="Times New Roman" w:hAnsi="Times New Roman" w:cs="Times New Roman"/>
          <w:noProof w:val="0"/>
          <w:sz w:val="28"/>
        </w:rPr>
        <w:t xml:space="preserve"> Mówię to do siebie i do ciebie. Stawiam nam wyzwanie Jezusa Chrystusa, by mieć na względzie nie tylko własną krzywdę, ale też tego brata, który w swojej głupocie się pogubił. Skoro Chrystus za niego umarł, to jest on częścią Kościoła, o którym nie możemy odciąć i zapomnieć, tym samym skreślając człowieka. Skreślmy grzech i jego bezbożne skutki, ale zachowajmy tego grzesznika, który pokutuje. Oby Bóg dał nam te </w:t>
      </w:r>
      <w:r>
        <w:rPr>
          <w:rFonts w:ascii="Times New Roman" w:eastAsia="Times New Roman" w:hAnsi="Times New Roman" w:cs="Times New Roman"/>
          <w:i/>
          <w:iCs/>
          <w:noProof w:val="0"/>
          <w:sz w:val="28"/>
        </w:rPr>
        <w:t>mądrość</w:t>
      </w:r>
      <w:r>
        <w:rPr>
          <w:rFonts w:ascii="Times New Roman" w:eastAsia="Times New Roman" w:hAnsi="Times New Roman" w:cs="Times New Roman"/>
          <w:noProof w:val="0"/>
          <w:sz w:val="28"/>
        </w:rPr>
        <w:t xml:space="preserve">, by prowadzić brata lub siostrę do pokuty i nawrócenia. Jak mówi Jakub: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Bracia moi, gdyby ktoś spośród was </w:t>
      </w:r>
      <w:r>
        <w:rPr>
          <w:rFonts w:ascii="Times New Roman" w:eastAsia="Times New Roman" w:hAnsi="Times New Roman" w:cs="Times New Roman"/>
          <w:i/>
          <w:iCs/>
          <w:noProof w:val="0"/>
          <w:sz w:val="28"/>
        </w:rPr>
        <w:t>zboczył od prawdy</w:t>
      </w:r>
      <w:r>
        <w:rPr>
          <w:rFonts w:ascii="Times New Roman" w:eastAsia="Times New Roman" w:hAnsi="Times New Roman" w:cs="Times New Roman"/>
          <w:noProof w:val="0"/>
          <w:sz w:val="28"/>
        </w:rPr>
        <w:t xml:space="preserve">, a ktoś go </w:t>
      </w:r>
      <w:r>
        <w:rPr>
          <w:rFonts w:ascii="Times New Roman" w:eastAsia="Times New Roman" w:hAnsi="Times New Roman" w:cs="Times New Roman"/>
          <w:b/>
          <w:bCs/>
          <w:noProof w:val="0"/>
          <w:sz w:val="28"/>
        </w:rPr>
        <w:t>nawrócił</w:t>
      </w:r>
      <w:r>
        <w:rPr>
          <w:rFonts w:ascii="Times New Roman" w:eastAsia="Times New Roman" w:hAnsi="Times New Roman" w:cs="Times New Roman"/>
          <w:noProof w:val="0"/>
          <w:sz w:val="28"/>
        </w:rPr>
        <w:t xml:space="preserve">, niech wie, że ten, kto </w:t>
      </w:r>
      <w:r>
        <w:rPr>
          <w:rFonts w:ascii="Times New Roman" w:eastAsia="Times New Roman" w:hAnsi="Times New Roman" w:cs="Times New Roman"/>
          <w:b/>
          <w:bCs/>
          <w:noProof w:val="0"/>
          <w:sz w:val="28"/>
        </w:rPr>
        <w:t>nawrócił grzesznika</w:t>
      </w:r>
      <w:r>
        <w:rPr>
          <w:rFonts w:ascii="Times New Roman" w:eastAsia="Times New Roman" w:hAnsi="Times New Roman" w:cs="Times New Roman"/>
          <w:noProof w:val="0"/>
          <w:sz w:val="28"/>
        </w:rPr>
        <w:t xml:space="preserve"> z jego błędnej drogi, </w:t>
      </w:r>
      <w:r>
        <w:rPr>
          <w:rFonts w:ascii="Times New Roman" w:eastAsia="Times New Roman" w:hAnsi="Times New Roman" w:cs="Times New Roman"/>
          <w:b/>
          <w:bCs/>
          <w:noProof w:val="0"/>
          <w:sz w:val="28"/>
          <w:u w:val="single"/>
        </w:rPr>
        <w:t>uratuje jego duszę od śmierci</w:t>
      </w:r>
      <w:r>
        <w:rPr>
          <w:rFonts w:ascii="Times New Roman" w:eastAsia="Times New Roman" w:hAnsi="Times New Roman" w:cs="Times New Roman"/>
          <w:noProof w:val="0"/>
          <w:sz w:val="28"/>
          <w:u w:val="single"/>
        </w:rPr>
        <w:t xml:space="preserve"> i zakryje mnóstwo grzechów.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Realizując praktycznie, Słowa Chrystusa, bierzesz udział w Jego dziele budowania Kościoła. Gdy działamy na sposób ludzki, to sprawiamy, że Kościół staje się areną walki o to, czyje będzie na wierzchu, kto ma większe wpływy. Nie możemy poddać się presji świata i na sposób diabelski radzić sobie z problemami naszej grzesznej natury. Przeciwnie, mając umysł Chrystusowy, nawracajmy grzesznika, nawet, gdy mieni się być chrześcijaninem, rozwiązujmy wszelkie konflikty zanim staną się poważnym problemem, który zagrozi jedności Kościoła. Ratujmy siebie i ratujmy naszych bliskich, naszą duchową rodzinę od śmierci. Wzywam, byśmy każdy konflikt, każdy problem, spróbowali potraktować jako okazję do umocnienia Ewangelii. </w:t>
      </w:r>
      <w:r>
        <w:rPr>
          <w:rFonts w:ascii="Times New Roman" w:eastAsia="Times New Roman" w:hAnsi="Times New Roman" w:cs="Times New Roman"/>
          <w:b/>
          <w:bCs/>
          <w:noProof w:val="0"/>
          <w:sz w:val="28"/>
          <w:u w:val="single"/>
        </w:rPr>
        <w:t>Kościół jest święty, jest światłem świata, jest solą ziemi, tak długo, jak my trzymamy się Słowa Chrystusowego</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bagatelizujmy go, nie mówmy, że w naszym przypadku nie mają one zastosowania. </w:t>
      </w:r>
      <w:r>
        <w:rPr>
          <w:rFonts w:ascii="Times New Roman" w:eastAsia="Times New Roman" w:hAnsi="Times New Roman" w:cs="Times New Roman"/>
          <w:b/>
          <w:bCs/>
          <w:noProof w:val="0"/>
          <w:sz w:val="28"/>
        </w:rPr>
        <w:t>Troska duszpasterska nie jest tylko zadaniem duchownych. Jest zadaniem nas wszystkich</w:t>
      </w:r>
      <w:r>
        <w:rPr>
          <w:rFonts w:ascii="Times New Roman" w:eastAsia="Times New Roman" w:hAnsi="Times New Roman" w:cs="Times New Roman"/>
          <w:noProof w:val="0"/>
          <w:sz w:val="28"/>
        </w:rPr>
        <w:t>. Posłusznie poddajmy się Jezusowi jako Panu i Zbawicielowi. Jego ewangelia ma moc uzdrowić każde zranienie i konflikt. Zaufaj Ewangelii! Amen?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Augustyn, </w:t>
      </w:r>
      <w:r>
        <w:rPr>
          <w:rFonts w:ascii="Times New Roman" w:eastAsia="Times New Roman" w:hAnsi="Times New Roman" w:cs="Times New Roman"/>
          <w:i/>
          <w:iCs/>
          <w:noProof w:val="0"/>
          <w:sz w:val="28"/>
        </w:rPr>
        <w:t>Kazania do Ewangelii według św. Mateusza</w:t>
      </w:r>
      <w:r>
        <w:rPr>
          <w:rFonts w:ascii="Times New Roman" w:eastAsia="Times New Roman" w:hAnsi="Times New Roman" w:cs="Times New Roman"/>
          <w:noProof w:val="0"/>
          <w:sz w:val="28"/>
        </w:rPr>
        <w:t>, tłum. A. Żurek, Wydawnictwo WAM, Kraków 2022, t. 88, Źródła myśli teologicznej.</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Burges C., Bower J., Kupiec M., i Bryćko D.M., </w:t>
      </w:r>
      <w:r>
        <w:rPr>
          <w:rFonts w:ascii="Times New Roman" w:eastAsia="Times New Roman" w:hAnsi="Times New Roman" w:cs="Times New Roman"/>
          <w:i/>
          <w:iCs/>
          <w:noProof w:val="0"/>
          <w:sz w:val="28"/>
        </w:rPr>
        <w:t>Westminsterskie wyznanie wiary: przekład z manuskryptu Corneliusa Burgesa (1646) wraz z tekstem krytycznym Johna R. Bowera (2020)</w:t>
      </w:r>
      <w:r>
        <w:rPr>
          <w:rFonts w:ascii="Times New Roman" w:eastAsia="Times New Roman" w:hAnsi="Times New Roman" w:cs="Times New Roman"/>
          <w:noProof w:val="0"/>
          <w:sz w:val="28"/>
        </w:rPr>
        <w:t>, Instytut Tolle Lege, Warszawa 2022, Wydanie 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Fausti S., i Canella V., </w:t>
      </w:r>
      <w:r>
        <w:rPr>
          <w:rFonts w:ascii="Times New Roman" w:eastAsia="Times New Roman" w:hAnsi="Times New Roman" w:cs="Times New Roman"/>
          <w:i/>
          <w:iCs/>
          <w:noProof w:val="0"/>
          <w:sz w:val="28"/>
        </w:rPr>
        <w:t>Rozważaj i głoś Ewangelię według św. Mateusza</w:t>
      </w:r>
      <w:r>
        <w:rPr>
          <w:rFonts w:ascii="Times New Roman" w:eastAsia="Times New Roman" w:hAnsi="Times New Roman" w:cs="Times New Roman"/>
          <w:noProof w:val="0"/>
          <w:sz w:val="28"/>
        </w:rPr>
        <w:t>, tłum. L. Rodziewicz, Bratni Zew Wydawnictwo Franciszkanów, Kraków 2022, Wydanie 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Grzybek S., </w:t>
      </w:r>
      <w:r>
        <w:rPr>
          <w:rFonts w:ascii="Times New Roman" w:eastAsia="Times New Roman" w:hAnsi="Times New Roman" w:cs="Times New Roman"/>
          <w:i/>
          <w:iCs/>
          <w:noProof w:val="0"/>
          <w:sz w:val="28"/>
        </w:rPr>
        <w:t>Kerygmatyczne wartości Pisma Świętego</w:t>
      </w:r>
      <w:r>
        <w:rPr>
          <w:rFonts w:ascii="Times New Roman" w:eastAsia="Times New Roman" w:hAnsi="Times New Roman" w:cs="Times New Roman"/>
          <w:noProof w:val="0"/>
          <w:sz w:val="28"/>
        </w:rPr>
        <w:t>, „Ruch Biblijny i Liturgiczny”, 1978, t. 31, nr 1, s.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Kłósek K., </w:t>
      </w:r>
      <w:r>
        <w:rPr>
          <w:rFonts w:ascii="Times New Roman" w:eastAsia="Times New Roman" w:hAnsi="Times New Roman" w:cs="Times New Roman"/>
          <w:i/>
          <w:iCs/>
          <w:noProof w:val="0"/>
          <w:sz w:val="28"/>
        </w:rPr>
        <w:t>Analiza narracyjna</w:t>
      </w:r>
      <w:r>
        <w:rPr>
          <w:rFonts w:ascii="Times New Roman" w:eastAsia="Times New Roman" w:hAnsi="Times New Roman" w:cs="Times New Roman"/>
          <w:noProof w:val="0"/>
          <w:sz w:val="28"/>
        </w:rPr>
        <w:t xml:space="preserve">, [w:] </w:t>
      </w:r>
      <w:r>
        <w:rPr>
          <w:rFonts w:ascii="Times New Roman" w:eastAsia="Times New Roman" w:hAnsi="Times New Roman" w:cs="Times New Roman"/>
          <w:i/>
          <w:iCs/>
          <w:noProof w:val="0"/>
          <w:sz w:val="28"/>
        </w:rPr>
        <w:t>Studia z biblistyki</w:t>
      </w:r>
      <w:r>
        <w:rPr>
          <w:rFonts w:ascii="Times New Roman" w:eastAsia="Times New Roman" w:hAnsi="Times New Roman" w:cs="Times New Roman"/>
          <w:noProof w:val="0"/>
          <w:sz w:val="28"/>
        </w:rPr>
        <w:t>, Wydawnictwo Naukowe UKSW, Warszawa 2016, t. IX, s. 197–288.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MacArthur J., </w:t>
      </w:r>
      <w:r>
        <w:rPr>
          <w:rFonts w:ascii="Times New Roman" w:eastAsia="Times New Roman" w:hAnsi="Times New Roman" w:cs="Times New Roman"/>
          <w:i/>
          <w:iCs/>
          <w:noProof w:val="0"/>
          <w:sz w:val="28"/>
        </w:rPr>
        <w:t>Komentarz do Nowego Testamentu</w:t>
      </w:r>
      <w:r>
        <w:rPr>
          <w:rFonts w:ascii="Times New Roman" w:eastAsia="Times New Roman" w:hAnsi="Times New Roman" w:cs="Times New Roman"/>
          <w:noProof w:val="0"/>
          <w:sz w:val="28"/>
        </w:rPr>
        <w:t>, tłum. J. Jakubowska, Wydawnictwo „Amor Veritatis”, Wejherowo 2019.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MacArthur J., i Mayhue R., </w:t>
      </w:r>
      <w:r>
        <w:rPr>
          <w:rFonts w:ascii="Times New Roman" w:eastAsia="Times New Roman" w:hAnsi="Times New Roman" w:cs="Times New Roman"/>
          <w:i/>
          <w:iCs/>
          <w:noProof w:val="0"/>
          <w:sz w:val="28"/>
        </w:rPr>
        <w:t>Doktryna biblijna</w:t>
      </w:r>
      <w:r>
        <w:rPr>
          <w:rFonts w:ascii="Times New Roman" w:eastAsia="Times New Roman" w:hAnsi="Times New Roman" w:cs="Times New Roman"/>
          <w:noProof w:val="0"/>
          <w:sz w:val="28"/>
        </w:rPr>
        <w:t>, tłum. J. Pazio, Wydawnictwo „Amor Veritatis”, Wejherowo 2022.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MacDonald W.,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tłum. P. Janikowski, Wydawnictwo Areopag, Jastrzębie Zdrój 2005.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Mitch C., i Sri E., </w:t>
      </w:r>
      <w:r>
        <w:rPr>
          <w:rFonts w:ascii="Times New Roman" w:eastAsia="Times New Roman" w:hAnsi="Times New Roman" w:cs="Times New Roman"/>
          <w:i/>
          <w:iCs/>
          <w:noProof w:val="0"/>
          <w:sz w:val="28"/>
        </w:rPr>
        <w:t>Ewangelia według św. Mateusza</w:t>
      </w:r>
      <w:r>
        <w:rPr>
          <w:rFonts w:ascii="Times New Roman" w:eastAsia="Times New Roman" w:hAnsi="Times New Roman" w:cs="Times New Roman"/>
          <w:noProof w:val="0"/>
          <w:sz w:val="28"/>
        </w:rPr>
        <w:t>, tłum. E. Litak, Wydawnictwo W drodze, Poznań 2020, Wydanie I, dodruk, IV 2020.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Paciorek A., </w:t>
      </w:r>
      <w:r>
        <w:rPr>
          <w:rFonts w:ascii="Times New Roman" w:eastAsia="Times New Roman" w:hAnsi="Times New Roman" w:cs="Times New Roman"/>
          <w:i/>
          <w:iCs/>
          <w:noProof w:val="0"/>
          <w:sz w:val="28"/>
        </w:rPr>
        <w:t>Ewangelie synoptyczne. 2, Ewangelia według św. Mateusza</w:t>
      </w:r>
      <w:r>
        <w:rPr>
          <w:rFonts w:ascii="Times New Roman" w:eastAsia="Times New Roman" w:hAnsi="Times New Roman" w:cs="Times New Roman"/>
          <w:noProof w:val="0"/>
          <w:sz w:val="28"/>
        </w:rPr>
        <w:t>, Biblos, Tarnów 2002.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Ewangelia według świętego Mateusza. Cz. 2, Rozdziały 14 - 28</w:t>
      </w:r>
      <w:r>
        <w:rPr>
          <w:rFonts w:ascii="Times New Roman" w:eastAsia="Times New Roman" w:hAnsi="Times New Roman" w:cs="Times New Roman"/>
          <w:noProof w:val="0"/>
          <w:sz w:val="28"/>
        </w:rPr>
        <w:t>, Edycja Świętego Pawła, Częstochowa 2008.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Nowodworski Grecko-Polski Interlinearny Przekład Didache</w:t>
      </w:r>
      <w:r>
        <w:rPr>
          <w:rFonts w:ascii="Times New Roman" w:eastAsia="Times New Roman" w:hAnsi="Times New Roman" w:cs="Times New Roman"/>
          <w:noProof w:val="0"/>
          <w:sz w:val="28"/>
        </w:rPr>
        <w:t>, KChB NDM, Nowy Dwór Mazowiecki 2022.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Romaniuk K., Jankowski A., i Stachowiak L., </w:t>
      </w:r>
      <w:r>
        <w:rPr>
          <w:rFonts w:ascii="Times New Roman" w:eastAsia="Times New Roman" w:hAnsi="Times New Roman" w:cs="Times New Roman"/>
          <w:i/>
          <w:iCs/>
          <w:noProof w:val="0"/>
          <w:sz w:val="28"/>
        </w:rPr>
        <w:t>Komentarz praktyczny do Nowego Testamentu. T. 1</w:t>
      </w:r>
      <w:r>
        <w:rPr>
          <w:rFonts w:ascii="Times New Roman" w:eastAsia="Times New Roman" w:hAnsi="Times New Roman" w:cs="Times New Roman"/>
          <w:noProof w:val="0"/>
          <w:sz w:val="28"/>
        </w:rPr>
        <w:t>, Pallotinum; Tyniec Wydawnictwo Benedyktynów, Poznań, Kraków 1999.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Rosik M., </w:t>
      </w:r>
      <w:r>
        <w:rPr>
          <w:rFonts w:ascii="Times New Roman" w:eastAsia="Times New Roman" w:hAnsi="Times New Roman" w:cs="Times New Roman"/>
          <w:i/>
          <w:iCs/>
          <w:noProof w:val="0"/>
          <w:sz w:val="28"/>
        </w:rPr>
        <w:t>Duszpasterski komentarz do Nowego Testamentu. [1b], Ewangelia wg św. Mateusza (Mt 14, 1-28, 20)</w:t>
      </w:r>
      <w:r>
        <w:rPr>
          <w:rFonts w:ascii="Times New Roman" w:eastAsia="Times New Roman" w:hAnsi="Times New Roman" w:cs="Times New Roman"/>
          <w:noProof w:val="0"/>
          <w:sz w:val="28"/>
        </w:rPr>
        <w:t>, Wydawnictwo Diecezji Tarnowskiej Biblos, Tarnów 2010.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Ryś G., </w:t>
      </w:r>
      <w:r>
        <w:rPr>
          <w:rFonts w:ascii="Times New Roman" w:eastAsia="Times New Roman" w:hAnsi="Times New Roman" w:cs="Times New Roman"/>
          <w:i/>
          <w:iCs/>
          <w:noProof w:val="0"/>
          <w:sz w:val="28"/>
        </w:rPr>
        <w:t>W Kościele jest miejsce dla wszystkich</w:t>
      </w:r>
      <w:r>
        <w:rPr>
          <w:rFonts w:ascii="Times New Roman" w:eastAsia="Times New Roman" w:hAnsi="Times New Roman" w:cs="Times New Roman"/>
          <w:noProof w:val="0"/>
          <w:sz w:val="28"/>
        </w:rPr>
        <w:t>, Wydawnictwo WAM, Kraków 2020.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Skibiński T., Misiarczyk L., i Naumowicz J., </w:t>
      </w:r>
      <w:r>
        <w:rPr>
          <w:rFonts w:ascii="Times New Roman" w:eastAsia="Times New Roman" w:hAnsi="Times New Roman" w:cs="Times New Roman"/>
          <w:i/>
          <w:iCs/>
          <w:noProof w:val="0"/>
          <w:sz w:val="28"/>
        </w:rPr>
        <w:t>Ewangelia według św. Mateusza 14-28</w:t>
      </w:r>
      <w:r>
        <w:rPr>
          <w:rFonts w:ascii="Times New Roman" w:eastAsia="Times New Roman" w:hAnsi="Times New Roman" w:cs="Times New Roman"/>
          <w:noProof w:val="0"/>
          <w:sz w:val="28"/>
        </w:rPr>
        <w:t>, Apostolicum - Wydawnictwo Księży Pallotynów Prowincji Chrystusa Króla, Ząbki 2018.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Stern D.H., </w:t>
      </w:r>
      <w:r>
        <w:rPr>
          <w:rFonts w:ascii="Times New Roman" w:eastAsia="Times New Roman" w:hAnsi="Times New Roman" w:cs="Times New Roman"/>
          <w:i/>
          <w:iCs/>
          <w:noProof w:val="0"/>
          <w:sz w:val="28"/>
        </w:rPr>
        <w:t>Komentarz żydowski do Nowego Testamentu</w:t>
      </w:r>
      <w:r>
        <w:rPr>
          <w:rFonts w:ascii="Times New Roman" w:eastAsia="Times New Roman" w:hAnsi="Times New Roman" w:cs="Times New Roman"/>
          <w:noProof w:val="0"/>
          <w:sz w:val="28"/>
        </w:rPr>
        <w:t>, tłum. A. Czwojdrak, Oficyna Wydawnicza „Vocatio”, Warszawa 2017, Wydanie czwarte (2017).</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Strong J., </w:t>
      </w:r>
      <w:r>
        <w:rPr>
          <w:rFonts w:ascii="Times New Roman" w:eastAsia="Times New Roman" w:hAnsi="Times New Roman" w:cs="Times New Roman"/>
          <w:i/>
          <w:iCs/>
          <w:noProof w:val="0"/>
          <w:sz w:val="28"/>
        </w:rPr>
        <w:t>Grecko-polski słownik Stronga z lokalizacją słów greckich i kodami Popowskiego</w:t>
      </w:r>
      <w:r>
        <w:rPr>
          <w:rFonts w:ascii="Times New Roman" w:eastAsia="Times New Roman" w:hAnsi="Times New Roman" w:cs="Times New Roman"/>
          <w:noProof w:val="0"/>
          <w:sz w:val="28"/>
        </w:rPr>
        <w:t>, tłum. A. Czwojdrak, Oficyna Wydawnicza „Vocatio”, Warszawa 2015.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Tyloch W., </w:t>
      </w:r>
      <w:r>
        <w:rPr>
          <w:rFonts w:ascii="Times New Roman" w:eastAsia="Times New Roman" w:hAnsi="Times New Roman" w:cs="Times New Roman"/>
          <w:i/>
          <w:iCs/>
          <w:noProof w:val="0"/>
          <w:sz w:val="28"/>
        </w:rPr>
        <w:t>Rękopisy z Qumran nad Morzem Martwym</w:t>
      </w:r>
      <w:r>
        <w:rPr>
          <w:rFonts w:ascii="Times New Roman" w:eastAsia="Times New Roman" w:hAnsi="Times New Roman" w:cs="Times New Roman"/>
          <w:noProof w:val="0"/>
          <w:sz w:val="28"/>
        </w:rPr>
        <w:t>, Państwowe Wydawnictwo Naukowe, Warszawa 1963.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Wardin A.W., </w:t>
      </w:r>
      <w:r>
        <w:rPr>
          <w:rFonts w:ascii="Times New Roman" w:eastAsia="Times New Roman" w:hAnsi="Times New Roman" w:cs="Times New Roman"/>
          <w:i/>
          <w:iCs/>
          <w:noProof w:val="0"/>
          <w:sz w:val="28"/>
        </w:rPr>
        <w:t>Gotfryd Fryderyk Alf: pionier ruchu baptystycznego na ziemiach polskich</w:t>
      </w:r>
      <w:r>
        <w:rPr>
          <w:rFonts w:ascii="Times New Roman" w:eastAsia="Times New Roman" w:hAnsi="Times New Roman" w:cs="Times New Roman"/>
          <w:noProof w:val="0"/>
          <w:sz w:val="28"/>
        </w:rPr>
        <w:t>, Wyższe Baptystyczne Seminarium Teologiczne, Warszawa 2003, Wyd.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Wojciechowski M., </w:t>
      </w:r>
      <w:r>
        <w:rPr>
          <w:rFonts w:ascii="Times New Roman" w:eastAsia="Times New Roman" w:hAnsi="Times New Roman" w:cs="Times New Roman"/>
          <w:i/>
          <w:iCs/>
          <w:noProof w:val="0"/>
          <w:sz w:val="28"/>
        </w:rPr>
        <w:t>Synopsa czterech Ewangelii w nowym przekładzie polskim</w:t>
      </w:r>
      <w:r>
        <w:rPr>
          <w:rFonts w:ascii="Times New Roman" w:eastAsia="Times New Roman" w:hAnsi="Times New Roman" w:cs="Times New Roman"/>
          <w:noProof w:val="0"/>
          <w:sz w:val="28"/>
        </w:rPr>
        <w:t>, Oficyna Wydawnicza „Vocatio”, Warszawa 2022, Wydanie czwarte poprawione.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40"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40"/>
      <w:r>
        <w:rPr>
          <w:rFonts w:ascii="Times New Roman" w:eastAsia="Times New Roman" w:hAnsi="Times New Roman" w:cs="Times New Roman"/>
          <w:noProof w:val="0"/>
          <w:sz w:val="28"/>
        </w:rPr>
        <w:t xml:space="preserve"> G. Ryś, </w:t>
      </w:r>
      <w:r>
        <w:rPr>
          <w:rFonts w:ascii="Times New Roman" w:eastAsia="Times New Roman" w:hAnsi="Times New Roman" w:cs="Times New Roman"/>
          <w:i/>
          <w:iCs/>
          <w:noProof w:val="0"/>
          <w:sz w:val="28"/>
        </w:rPr>
        <w:t>W Kościele jest miejsce dla wszystkich</w:t>
      </w:r>
      <w:r>
        <w:rPr>
          <w:rFonts w:ascii="Times New Roman" w:eastAsia="Times New Roman" w:hAnsi="Times New Roman" w:cs="Times New Roman"/>
          <w:noProof w:val="0"/>
          <w:sz w:val="28"/>
        </w:rPr>
        <w:t>, Wydawnictwo WAM, Kraków 2020.</w:t>
        <w:br/>
      </w:r>
      <w:bookmarkStart w:id="41" w:name="footnote2"/>
      <w:r>
        <w:rPr>
          <w:rFonts w:ascii="Times New Roman" w:eastAsia="Times New Roman" w:hAnsi="Times New Roman" w:cs="Times New Roman"/>
          <w:noProof w:val="0"/>
          <w:sz w:val="28"/>
          <w:szCs w:val="30"/>
          <w:vertAlign w:val="superscript"/>
        </w:rPr>
        <w:t>2)</w:t>
      </w:r>
      <w:bookmarkEnd w:id="41"/>
      <w:r>
        <w:rPr>
          <w:rFonts w:ascii="Times New Roman" w:eastAsia="Times New Roman" w:hAnsi="Times New Roman" w:cs="Times New Roman"/>
          <w:noProof w:val="0"/>
          <w:sz w:val="28"/>
        </w:rPr>
        <w:t xml:space="preserve"> W. MacDonald,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tłum. P. Janikowski, Wydawnictwo Areopag, Jastrzębie Zdrój 2005, s. 76.</w:t>
        <w:br/>
      </w:r>
      <w:bookmarkStart w:id="42" w:name="footnote3"/>
      <w:r>
        <w:rPr>
          <w:rFonts w:ascii="Times New Roman" w:eastAsia="Times New Roman" w:hAnsi="Times New Roman" w:cs="Times New Roman"/>
          <w:noProof w:val="0"/>
          <w:sz w:val="28"/>
          <w:szCs w:val="30"/>
          <w:vertAlign w:val="superscript"/>
        </w:rPr>
        <w:t>3)</w:t>
      </w:r>
      <w:bookmarkEnd w:id="42"/>
      <w:r>
        <w:rPr>
          <w:rFonts w:ascii="Times New Roman" w:eastAsia="Times New Roman" w:hAnsi="Times New Roman" w:cs="Times New Roman"/>
          <w:noProof w:val="0"/>
          <w:sz w:val="28"/>
        </w:rPr>
        <w:t xml:space="preserve"> A. Paciorek, </w:t>
      </w:r>
      <w:r>
        <w:rPr>
          <w:rFonts w:ascii="Times New Roman" w:eastAsia="Times New Roman" w:hAnsi="Times New Roman" w:cs="Times New Roman"/>
          <w:i/>
          <w:iCs/>
          <w:noProof w:val="0"/>
          <w:sz w:val="28"/>
        </w:rPr>
        <w:t>Ewangelie synoptyczne. 2, Ewangelia według św. Mateusza</w:t>
      </w:r>
      <w:r>
        <w:rPr>
          <w:rFonts w:ascii="Times New Roman" w:eastAsia="Times New Roman" w:hAnsi="Times New Roman" w:cs="Times New Roman"/>
          <w:noProof w:val="0"/>
          <w:sz w:val="28"/>
        </w:rPr>
        <w:t>, Biblos, Tarnów 2002, s. 13–14.</w:t>
        <w:br/>
      </w:r>
      <w:bookmarkStart w:id="43" w:name="footnote4"/>
      <w:r>
        <w:rPr>
          <w:rFonts w:ascii="Times New Roman" w:eastAsia="Times New Roman" w:hAnsi="Times New Roman" w:cs="Times New Roman"/>
          <w:noProof w:val="0"/>
          <w:sz w:val="28"/>
          <w:szCs w:val="30"/>
          <w:vertAlign w:val="superscript"/>
        </w:rPr>
        <w:t>4)</w:t>
      </w:r>
      <w:bookmarkEnd w:id="43"/>
      <w:r>
        <w:rPr>
          <w:rFonts w:ascii="Times New Roman" w:eastAsia="Times New Roman" w:hAnsi="Times New Roman" w:cs="Times New Roman"/>
          <w:noProof w:val="0"/>
          <w:sz w:val="28"/>
        </w:rPr>
        <w:t xml:space="preserve"> „Celem skomponowania narracji jest wywarcie na czytelniku określonego wrażenia. [W tym przypadku, mowy i przypowieści mają zwrócić uwagę, że troska o czystość zboru nie może zadusić miłości wyrażającej się w zdrowej dyscyplinie wobec tych, którzy zgrzeszyli, pogubili się w swoim postępowaniu]. Wrażenie to ma poprowadzić go do chęci zmiany (…) spowodować, że czytelnik będzie chciał eksplorować narrację i odpowiednio ją interpretować” – K. Kłósek, </w:t>
      </w:r>
      <w:r>
        <w:rPr>
          <w:rFonts w:ascii="Times New Roman" w:eastAsia="Times New Roman" w:hAnsi="Times New Roman" w:cs="Times New Roman"/>
          <w:i/>
          <w:iCs/>
          <w:noProof w:val="0"/>
          <w:sz w:val="28"/>
        </w:rPr>
        <w:t>Analiza narracyjna</w:t>
      </w:r>
      <w:r>
        <w:rPr>
          <w:rFonts w:ascii="Times New Roman" w:eastAsia="Times New Roman" w:hAnsi="Times New Roman" w:cs="Times New Roman"/>
          <w:noProof w:val="0"/>
          <w:sz w:val="28"/>
        </w:rPr>
        <w:t xml:space="preserve">, [w:] </w:t>
      </w:r>
      <w:r>
        <w:rPr>
          <w:rFonts w:ascii="Times New Roman" w:eastAsia="Times New Roman" w:hAnsi="Times New Roman" w:cs="Times New Roman"/>
          <w:i/>
          <w:iCs/>
          <w:noProof w:val="0"/>
          <w:sz w:val="28"/>
        </w:rPr>
        <w:t>Studia z biblistyki</w:t>
      </w:r>
      <w:r>
        <w:rPr>
          <w:rFonts w:ascii="Times New Roman" w:eastAsia="Times New Roman" w:hAnsi="Times New Roman" w:cs="Times New Roman"/>
          <w:noProof w:val="0"/>
          <w:sz w:val="28"/>
        </w:rPr>
        <w:t>, Wydawnictwo Naukowe UKSW, Warszawa 2016, t. IX, s. 201.</w:t>
        <w:br/>
      </w:r>
      <w:bookmarkStart w:id="44" w:name="footnote5"/>
      <w:r>
        <w:rPr>
          <w:rFonts w:ascii="Times New Roman" w:eastAsia="Times New Roman" w:hAnsi="Times New Roman" w:cs="Times New Roman"/>
          <w:noProof w:val="0"/>
          <w:sz w:val="28"/>
          <w:szCs w:val="30"/>
          <w:vertAlign w:val="superscript"/>
        </w:rPr>
        <w:t>5)</w:t>
      </w:r>
      <w:bookmarkEnd w:id="44"/>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 w. 18:21.</w:t>
        <w:br/>
      </w:r>
      <w:bookmarkStart w:id="45" w:name="footnote6"/>
      <w:r>
        <w:rPr>
          <w:rFonts w:ascii="Times New Roman" w:eastAsia="Times New Roman" w:hAnsi="Times New Roman" w:cs="Times New Roman"/>
          <w:noProof w:val="0"/>
          <w:sz w:val="28"/>
          <w:szCs w:val="30"/>
          <w:vertAlign w:val="superscript"/>
        </w:rPr>
        <w:t>6)</w:t>
      </w:r>
      <w:bookmarkEnd w:id="45"/>
      <w:r>
        <w:rPr>
          <w:rFonts w:ascii="Times New Roman" w:eastAsia="Times New Roman" w:hAnsi="Times New Roman" w:cs="Times New Roman"/>
          <w:noProof w:val="0"/>
          <w:sz w:val="28"/>
        </w:rPr>
        <w:t xml:space="preserve"> A. Paciorek, </w:t>
      </w:r>
      <w:r>
        <w:rPr>
          <w:rFonts w:ascii="Times New Roman" w:eastAsia="Times New Roman" w:hAnsi="Times New Roman" w:cs="Times New Roman"/>
          <w:i/>
          <w:iCs/>
          <w:noProof w:val="0"/>
          <w:sz w:val="28"/>
        </w:rPr>
        <w:t>Ew. synoptyczne, Mt</w:t>
      </w:r>
      <w:r>
        <w:rPr>
          <w:rFonts w:ascii="Times New Roman" w:eastAsia="Times New Roman" w:hAnsi="Times New Roman" w:cs="Times New Roman"/>
          <w:noProof w:val="0"/>
          <w:sz w:val="28"/>
        </w:rPr>
        <w:t>..., s. 23.</w:t>
        <w:br/>
      </w:r>
      <w:bookmarkStart w:id="46" w:name="footnote7"/>
      <w:r>
        <w:rPr>
          <w:rFonts w:ascii="Times New Roman" w:eastAsia="Times New Roman" w:hAnsi="Times New Roman" w:cs="Times New Roman"/>
          <w:noProof w:val="0"/>
          <w:sz w:val="28"/>
          <w:szCs w:val="30"/>
          <w:vertAlign w:val="superscript"/>
        </w:rPr>
        <w:t>7)</w:t>
      </w:r>
      <w:bookmarkEnd w:id="46"/>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Mt 18:15-20.</w:t>
        <w:br/>
      </w:r>
      <w:bookmarkStart w:id="47" w:name="footnote8"/>
      <w:r>
        <w:rPr>
          <w:rFonts w:ascii="Times New Roman" w:eastAsia="Times New Roman" w:hAnsi="Times New Roman" w:cs="Times New Roman"/>
          <w:noProof w:val="0"/>
          <w:sz w:val="28"/>
          <w:szCs w:val="30"/>
          <w:vertAlign w:val="superscript"/>
        </w:rPr>
        <w:t>8)</w:t>
      </w:r>
      <w:bookmarkEnd w:id="47"/>
      <w:r>
        <w:rPr>
          <w:rFonts w:ascii="Times New Roman" w:eastAsia="Times New Roman" w:hAnsi="Times New Roman" w:cs="Times New Roman"/>
          <w:noProof w:val="0"/>
          <w:sz w:val="28"/>
        </w:rPr>
        <w:t> Istnieją jeszcze trzy podejścia do tego tekstu, które pokrótce nakreśla w swoim komentarzu prof. Antoni Paciorek.</w:t>
        <w:br/>
      </w:r>
      <w:bookmarkStart w:id="48" w:name="footnote9"/>
      <w:r>
        <w:rPr>
          <w:rFonts w:ascii="Times New Roman" w:eastAsia="Times New Roman" w:hAnsi="Times New Roman" w:cs="Times New Roman"/>
          <w:noProof w:val="0"/>
          <w:sz w:val="28"/>
          <w:szCs w:val="30"/>
          <w:vertAlign w:val="superscript"/>
        </w:rPr>
        <w:t>9)</w:t>
      </w:r>
      <w:bookmarkEnd w:id="48"/>
      <w:r>
        <w:rPr>
          <w:rFonts w:ascii="Times New Roman" w:eastAsia="Times New Roman" w:hAnsi="Times New Roman" w:cs="Times New Roman"/>
          <w:noProof w:val="0"/>
          <w:sz w:val="28"/>
        </w:rPr>
        <w:t xml:space="preserve"> A. Paciorek, </w:t>
      </w:r>
      <w:r>
        <w:rPr>
          <w:rFonts w:ascii="Times New Roman" w:eastAsia="Times New Roman" w:hAnsi="Times New Roman" w:cs="Times New Roman"/>
          <w:i/>
          <w:iCs/>
          <w:noProof w:val="0"/>
          <w:sz w:val="28"/>
        </w:rPr>
        <w:t>Ewangelia według świętego Mateusza. Cz. 2, Rozdziały 14 - 28</w:t>
      </w:r>
      <w:r>
        <w:rPr>
          <w:rFonts w:ascii="Times New Roman" w:eastAsia="Times New Roman" w:hAnsi="Times New Roman" w:cs="Times New Roman"/>
          <w:noProof w:val="0"/>
          <w:sz w:val="28"/>
        </w:rPr>
        <w:t>, Edycja Świętego Pawła, Częstochowa 2008, s. 223.</w:t>
        <w:br/>
      </w:r>
      <w:bookmarkStart w:id="49" w:name="footnote10"/>
      <w:r>
        <w:rPr>
          <w:rFonts w:ascii="Times New Roman" w:eastAsia="Times New Roman" w:hAnsi="Times New Roman" w:cs="Times New Roman"/>
          <w:noProof w:val="0"/>
          <w:sz w:val="28"/>
          <w:szCs w:val="30"/>
          <w:vertAlign w:val="superscript"/>
        </w:rPr>
        <w:t>10)</w:t>
      </w:r>
      <w:bookmarkEnd w:id="49"/>
      <w:r>
        <w:rPr>
          <w:rFonts w:ascii="Times New Roman" w:eastAsia="Times New Roman" w:hAnsi="Times New Roman" w:cs="Times New Roman"/>
          <w:noProof w:val="0"/>
          <w:sz w:val="28"/>
        </w:rPr>
        <w:t xml:space="preserve"> M. Wojciechowski, </w:t>
      </w:r>
      <w:r>
        <w:rPr>
          <w:rFonts w:ascii="Times New Roman" w:eastAsia="Times New Roman" w:hAnsi="Times New Roman" w:cs="Times New Roman"/>
          <w:i/>
          <w:iCs/>
          <w:noProof w:val="0"/>
          <w:sz w:val="28"/>
        </w:rPr>
        <w:t>Synopsa czterech Ewangelii w nowym przekładzie polskim</w:t>
      </w:r>
      <w:r>
        <w:rPr>
          <w:rFonts w:ascii="Times New Roman" w:eastAsia="Times New Roman" w:hAnsi="Times New Roman" w:cs="Times New Roman"/>
          <w:noProof w:val="0"/>
          <w:sz w:val="28"/>
        </w:rPr>
        <w:t>, Oficyna Wydawnicza „Vocatio”, Warszawa 2022, Wydanie czwarte poprawione, s. 207.</w:t>
        <w:br/>
      </w:r>
      <w:bookmarkStart w:id="50" w:name="footnote11"/>
      <w:r>
        <w:rPr>
          <w:rFonts w:ascii="Times New Roman" w:eastAsia="Times New Roman" w:hAnsi="Times New Roman" w:cs="Times New Roman"/>
          <w:noProof w:val="0"/>
          <w:sz w:val="28"/>
          <w:szCs w:val="30"/>
          <w:vertAlign w:val="superscript"/>
        </w:rPr>
        <w:t>11)</w:t>
      </w:r>
      <w:bookmarkEnd w:id="50"/>
      <w:r>
        <w:rPr>
          <w:rFonts w:ascii="Times New Roman" w:eastAsia="Times New Roman" w:hAnsi="Times New Roman" w:cs="Times New Roman"/>
          <w:noProof w:val="0"/>
          <w:sz w:val="28"/>
        </w:rPr>
        <w:t xml:space="preserve"> por. A. Paciorek, </w:t>
      </w:r>
      <w:r>
        <w:rPr>
          <w:rFonts w:ascii="Times New Roman" w:eastAsia="Times New Roman" w:hAnsi="Times New Roman" w:cs="Times New Roman"/>
          <w:i/>
          <w:iCs/>
          <w:noProof w:val="0"/>
          <w:sz w:val="28"/>
        </w:rPr>
        <w:t>Ewangelia według świętego Mateusza. Cz. 2, Rozdziały 14 - 28</w:t>
      </w:r>
      <w:r>
        <w:rPr>
          <w:rFonts w:ascii="Times New Roman" w:eastAsia="Times New Roman" w:hAnsi="Times New Roman" w:cs="Times New Roman"/>
          <w:noProof w:val="0"/>
          <w:sz w:val="28"/>
        </w:rPr>
        <w:t>..., s. 223–224.</w:t>
        <w:br/>
      </w:r>
      <w:bookmarkStart w:id="51" w:name="footnote12"/>
      <w:r>
        <w:rPr>
          <w:rFonts w:ascii="Times New Roman" w:eastAsia="Times New Roman" w:hAnsi="Times New Roman" w:cs="Times New Roman"/>
          <w:noProof w:val="0"/>
          <w:sz w:val="28"/>
          <w:szCs w:val="30"/>
          <w:vertAlign w:val="superscript"/>
        </w:rPr>
        <w:t>12)</w:t>
      </w:r>
      <w:bookmarkEnd w:id="51"/>
      <w:r>
        <w:rPr>
          <w:rFonts w:ascii="Times New Roman" w:eastAsia="Times New Roman" w:hAnsi="Times New Roman" w:cs="Times New Roman"/>
          <w:noProof w:val="0"/>
          <w:sz w:val="28"/>
        </w:rPr>
        <w:t xml:space="preserve"> M. Rosik, </w:t>
      </w:r>
      <w:r>
        <w:rPr>
          <w:rFonts w:ascii="Times New Roman" w:eastAsia="Times New Roman" w:hAnsi="Times New Roman" w:cs="Times New Roman"/>
          <w:i/>
          <w:iCs/>
          <w:noProof w:val="0"/>
          <w:sz w:val="28"/>
        </w:rPr>
        <w:t>Duszpasterski komentarz do Nowego Testamentu. [1b], Ewangelia wg św. Mateusza (Mt 14, 1-28, 20)</w:t>
      </w:r>
      <w:r>
        <w:rPr>
          <w:rFonts w:ascii="Times New Roman" w:eastAsia="Times New Roman" w:hAnsi="Times New Roman" w:cs="Times New Roman"/>
          <w:noProof w:val="0"/>
          <w:sz w:val="28"/>
        </w:rPr>
        <w:t>, Wydawnictwo Diecezji Tarnowskiej Biblos, Tarnów 2010, s. 54–55.</w:t>
        <w:br/>
      </w:r>
      <w:bookmarkStart w:id="52" w:name="footnote13"/>
      <w:r>
        <w:rPr>
          <w:rFonts w:ascii="Times New Roman" w:eastAsia="Times New Roman" w:hAnsi="Times New Roman" w:cs="Times New Roman"/>
          <w:noProof w:val="0"/>
          <w:sz w:val="28"/>
          <w:szCs w:val="30"/>
          <w:vertAlign w:val="superscript"/>
        </w:rPr>
        <w:t>13)</w:t>
      </w:r>
      <w:bookmarkEnd w:id="52"/>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Mt 18:15.</w:t>
        <w:br/>
      </w:r>
      <w:bookmarkStart w:id="53" w:name="footnote14"/>
      <w:r>
        <w:rPr>
          <w:rFonts w:ascii="Times New Roman" w:eastAsia="Times New Roman" w:hAnsi="Times New Roman" w:cs="Times New Roman"/>
          <w:noProof w:val="0"/>
          <w:sz w:val="28"/>
          <w:szCs w:val="30"/>
          <w:vertAlign w:val="superscript"/>
        </w:rPr>
        <w:t>14)</w:t>
      </w:r>
      <w:bookmarkEnd w:id="53"/>
      <w:r>
        <w:rPr>
          <w:rFonts w:ascii="Times New Roman" w:eastAsia="Times New Roman" w:hAnsi="Times New Roman" w:cs="Times New Roman"/>
          <w:noProof w:val="0"/>
          <w:sz w:val="28"/>
        </w:rPr>
        <w:t xml:space="preserve"> S. Fausti i V. Canella, </w:t>
      </w:r>
      <w:r>
        <w:rPr>
          <w:rFonts w:ascii="Times New Roman" w:eastAsia="Times New Roman" w:hAnsi="Times New Roman" w:cs="Times New Roman"/>
          <w:i/>
          <w:iCs/>
          <w:noProof w:val="0"/>
          <w:sz w:val="28"/>
        </w:rPr>
        <w:t>Rozważaj i głoś Ewangelię według św. Mateusza</w:t>
      </w:r>
      <w:r>
        <w:rPr>
          <w:rFonts w:ascii="Times New Roman" w:eastAsia="Times New Roman" w:hAnsi="Times New Roman" w:cs="Times New Roman"/>
          <w:noProof w:val="0"/>
          <w:sz w:val="28"/>
        </w:rPr>
        <w:t>, tłum. L. Rodziewicz, Bratni Zew Wydawnictwo Franciszkanów, Kraków 2022, Wydanie II, s. 330.</w:t>
        <w:br/>
      </w:r>
      <w:bookmarkStart w:id="54" w:name="footnote15"/>
      <w:r>
        <w:rPr>
          <w:rFonts w:ascii="Times New Roman" w:eastAsia="Times New Roman" w:hAnsi="Times New Roman" w:cs="Times New Roman"/>
          <w:noProof w:val="0"/>
          <w:sz w:val="28"/>
          <w:szCs w:val="30"/>
          <w:vertAlign w:val="superscript"/>
        </w:rPr>
        <w:t>15)</w:t>
      </w:r>
      <w:bookmarkEnd w:id="54"/>
      <w:r>
        <w:rPr>
          <w:rFonts w:ascii="Times New Roman" w:eastAsia="Times New Roman" w:hAnsi="Times New Roman" w:cs="Times New Roman"/>
          <w:noProof w:val="0"/>
          <w:sz w:val="28"/>
        </w:rPr>
        <w:t xml:space="preserve"> W. MacDonald,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s. 76.</w:t>
        <w:br/>
      </w:r>
      <w:bookmarkStart w:id="55" w:name="footnote16"/>
      <w:r>
        <w:rPr>
          <w:rFonts w:ascii="Times New Roman" w:eastAsia="Times New Roman" w:hAnsi="Times New Roman" w:cs="Times New Roman"/>
          <w:noProof w:val="0"/>
          <w:sz w:val="28"/>
          <w:szCs w:val="30"/>
          <w:vertAlign w:val="superscript"/>
        </w:rPr>
        <w:t>16)</w:t>
      </w:r>
      <w:bookmarkEnd w:id="55"/>
      <w:r>
        <w:rPr>
          <w:rFonts w:ascii="Times New Roman" w:eastAsia="Times New Roman" w:hAnsi="Times New Roman" w:cs="Times New Roman"/>
          <w:noProof w:val="0"/>
          <w:sz w:val="28"/>
        </w:rPr>
        <w:t xml:space="preserve"> J. Strong, </w:t>
      </w:r>
      <w:r>
        <w:rPr>
          <w:rFonts w:ascii="Times New Roman" w:eastAsia="Times New Roman" w:hAnsi="Times New Roman" w:cs="Times New Roman"/>
          <w:i/>
          <w:iCs/>
          <w:noProof w:val="0"/>
          <w:sz w:val="28"/>
        </w:rPr>
        <w:t>Grecko-polski słownik Stronga z lokalizacją słów greckich i kodami Popowskiego</w:t>
      </w:r>
      <w:r>
        <w:rPr>
          <w:rFonts w:ascii="Times New Roman" w:eastAsia="Times New Roman" w:hAnsi="Times New Roman" w:cs="Times New Roman"/>
          <w:noProof w:val="0"/>
          <w:sz w:val="28"/>
        </w:rPr>
        <w:t>, tłum. A. Czwojdrak, Oficyna Wydawnicza „Vocatio”, Warszawa 2015, nr G1651.</w:t>
        <w:br/>
      </w:r>
      <w:bookmarkStart w:id="56" w:name="footnote17"/>
      <w:r>
        <w:rPr>
          <w:rFonts w:ascii="Times New Roman" w:eastAsia="Times New Roman" w:hAnsi="Times New Roman" w:cs="Times New Roman"/>
          <w:noProof w:val="0"/>
          <w:sz w:val="28"/>
          <w:szCs w:val="30"/>
          <w:vertAlign w:val="superscript"/>
        </w:rPr>
        <w:t>17)</w:t>
      </w:r>
      <w:bookmarkEnd w:id="56"/>
      <w:r>
        <w:rPr>
          <w:rFonts w:ascii="Times New Roman" w:eastAsia="Times New Roman" w:hAnsi="Times New Roman" w:cs="Times New Roman"/>
          <w:noProof w:val="0"/>
          <w:sz w:val="28"/>
        </w:rPr>
        <w:t xml:space="preserve"> C. Mitch i E. Sri, </w:t>
      </w:r>
      <w:r>
        <w:rPr>
          <w:rFonts w:ascii="Times New Roman" w:eastAsia="Times New Roman" w:hAnsi="Times New Roman" w:cs="Times New Roman"/>
          <w:i/>
          <w:iCs/>
          <w:noProof w:val="0"/>
          <w:sz w:val="28"/>
        </w:rPr>
        <w:t>Ewangelia według św. Mateusza</w:t>
      </w:r>
      <w:r>
        <w:rPr>
          <w:rFonts w:ascii="Times New Roman" w:eastAsia="Times New Roman" w:hAnsi="Times New Roman" w:cs="Times New Roman"/>
          <w:noProof w:val="0"/>
          <w:sz w:val="28"/>
        </w:rPr>
        <w:t>, tłum. E. Litak, Wydawnictwo W drodze, Poznań 2020, Wydanie I, dodruk, IV 2020, s. 248.</w:t>
        <w:br/>
      </w:r>
      <w:bookmarkStart w:id="57" w:name="footnote18"/>
      <w:r>
        <w:rPr>
          <w:rFonts w:ascii="Times New Roman" w:eastAsia="Times New Roman" w:hAnsi="Times New Roman" w:cs="Times New Roman"/>
          <w:noProof w:val="0"/>
          <w:sz w:val="28"/>
          <w:szCs w:val="30"/>
          <w:vertAlign w:val="superscript"/>
        </w:rPr>
        <w:t>18)</w:t>
      </w:r>
      <w:bookmarkEnd w:id="57"/>
      <w:r>
        <w:rPr>
          <w:rFonts w:ascii="Times New Roman" w:eastAsia="Times New Roman" w:hAnsi="Times New Roman" w:cs="Times New Roman"/>
          <w:noProof w:val="0"/>
          <w:sz w:val="28"/>
        </w:rPr>
        <w:t xml:space="preserve"> T. Skibiński, L. Misiarczyk, i J. Naumowicz, </w:t>
      </w:r>
      <w:r>
        <w:rPr>
          <w:rFonts w:ascii="Times New Roman" w:eastAsia="Times New Roman" w:hAnsi="Times New Roman" w:cs="Times New Roman"/>
          <w:i/>
          <w:iCs/>
          <w:noProof w:val="0"/>
          <w:sz w:val="28"/>
        </w:rPr>
        <w:t>Ewangelia według św. Mateusza 14-28</w:t>
      </w:r>
      <w:r>
        <w:rPr>
          <w:rFonts w:ascii="Times New Roman" w:eastAsia="Times New Roman" w:hAnsi="Times New Roman" w:cs="Times New Roman"/>
          <w:noProof w:val="0"/>
          <w:sz w:val="28"/>
        </w:rPr>
        <w:t>, Apostolicum - Wydawnictwo Księży Pallotynów Prowincji Chrystusa Króla, Ząbki 2018, s. 79.</w:t>
        <w:br/>
      </w:r>
      <w:bookmarkStart w:id="58" w:name="footnote19"/>
      <w:r>
        <w:rPr>
          <w:rFonts w:ascii="Times New Roman" w:eastAsia="Times New Roman" w:hAnsi="Times New Roman" w:cs="Times New Roman"/>
          <w:noProof w:val="0"/>
          <w:sz w:val="28"/>
          <w:szCs w:val="30"/>
          <w:vertAlign w:val="superscript"/>
        </w:rPr>
        <w:t>19)</w:t>
      </w:r>
      <w:bookmarkEnd w:id="58"/>
      <w:r>
        <w:rPr>
          <w:rFonts w:ascii="Times New Roman" w:eastAsia="Times New Roman" w:hAnsi="Times New Roman" w:cs="Times New Roman"/>
          <w:noProof w:val="0"/>
          <w:sz w:val="28"/>
        </w:rPr>
        <w:t xml:space="preserve"> J. MacArthur, </w:t>
      </w:r>
      <w:r>
        <w:rPr>
          <w:rFonts w:ascii="Times New Roman" w:eastAsia="Times New Roman" w:hAnsi="Times New Roman" w:cs="Times New Roman"/>
          <w:i/>
          <w:iCs/>
          <w:noProof w:val="0"/>
          <w:sz w:val="28"/>
        </w:rPr>
        <w:t>Komentarz do Nowego Testamentu</w:t>
      </w:r>
      <w:r>
        <w:rPr>
          <w:rFonts w:ascii="Times New Roman" w:eastAsia="Times New Roman" w:hAnsi="Times New Roman" w:cs="Times New Roman"/>
          <w:noProof w:val="0"/>
          <w:sz w:val="28"/>
        </w:rPr>
        <w:t>, tłum. J. Jakubowska, Wydawnictwo „Amor Veritatis”, Wejherowo 2019, s. 97.</w:t>
        <w:br/>
      </w:r>
      <w:bookmarkStart w:id="59" w:name="footnote20"/>
      <w:r>
        <w:rPr>
          <w:rFonts w:ascii="Times New Roman" w:eastAsia="Times New Roman" w:hAnsi="Times New Roman" w:cs="Times New Roman"/>
          <w:noProof w:val="0"/>
          <w:sz w:val="28"/>
          <w:szCs w:val="30"/>
          <w:vertAlign w:val="superscript"/>
        </w:rPr>
        <w:t>20)</w:t>
      </w:r>
      <w:bookmarkEnd w:id="59"/>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Mt 18:16.</w:t>
        <w:br/>
      </w:r>
      <w:bookmarkStart w:id="60" w:name="footnote21"/>
      <w:r>
        <w:rPr>
          <w:rFonts w:ascii="Times New Roman" w:eastAsia="Times New Roman" w:hAnsi="Times New Roman" w:cs="Times New Roman"/>
          <w:noProof w:val="0"/>
          <w:sz w:val="28"/>
          <w:szCs w:val="30"/>
          <w:vertAlign w:val="superscript"/>
        </w:rPr>
        <w:t>21)</w:t>
      </w:r>
      <w:bookmarkEnd w:id="60"/>
      <w:r>
        <w:rPr>
          <w:rFonts w:ascii="Times New Roman" w:eastAsia="Times New Roman" w:hAnsi="Times New Roman" w:cs="Times New Roman"/>
          <w:noProof w:val="0"/>
          <w:sz w:val="28"/>
        </w:rPr>
        <w:t xml:space="preserve"> K. Romaniuk, A. Jankowski, i L. Stachowiak, </w:t>
      </w:r>
      <w:r>
        <w:rPr>
          <w:rFonts w:ascii="Times New Roman" w:eastAsia="Times New Roman" w:hAnsi="Times New Roman" w:cs="Times New Roman"/>
          <w:i/>
          <w:iCs/>
          <w:noProof w:val="0"/>
          <w:sz w:val="28"/>
        </w:rPr>
        <w:t>Komentarz praktyczny do Nowego Testamentu. T. 1</w:t>
      </w:r>
      <w:r>
        <w:rPr>
          <w:rFonts w:ascii="Times New Roman" w:eastAsia="Times New Roman" w:hAnsi="Times New Roman" w:cs="Times New Roman"/>
          <w:noProof w:val="0"/>
          <w:sz w:val="28"/>
        </w:rPr>
        <w:t>, Pallotinum; Tyniec Wydawnictwo Benedyktynów, Poznań, Kraków 1999, s. 108.</w:t>
        <w:br/>
      </w:r>
      <w:bookmarkStart w:id="61" w:name="footnote22"/>
      <w:r>
        <w:rPr>
          <w:rFonts w:ascii="Times New Roman" w:eastAsia="Times New Roman" w:hAnsi="Times New Roman" w:cs="Times New Roman"/>
          <w:noProof w:val="0"/>
          <w:sz w:val="28"/>
          <w:szCs w:val="30"/>
          <w:vertAlign w:val="superscript"/>
        </w:rPr>
        <w:t>22)</w:t>
      </w:r>
      <w:bookmarkEnd w:id="61"/>
      <w:r>
        <w:rPr>
          <w:rFonts w:ascii="Times New Roman" w:eastAsia="Times New Roman" w:hAnsi="Times New Roman" w:cs="Times New Roman"/>
          <w:noProof w:val="0"/>
          <w:sz w:val="28"/>
        </w:rPr>
        <w:t xml:space="preserve"> W. Tyloch, </w:t>
      </w:r>
      <w:r>
        <w:rPr>
          <w:rFonts w:ascii="Times New Roman" w:eastAsia="Times New Roman" w:hAnsi="Times New Roman" w:cs="Times New Roman"/>
          <w:i/>
          <w:iCs/>
          <w:noProof w:val="0"/>
          <w:sz w:val="28"/>
        </w:rPr>
        <w:t>Rękopisy z Qumran nad Morzem Martwym</w:t>
      </w:r>
      <w:r>
        <w:rPr>
          <w:rFonts w:ascii="Times New Roman" w:eastAsia="Times New Roman" w:hAnsi="Times New Roman" w:cs="Times New Roman"/>
          <w:noProof w:val="0"/>
          <w:sz w:val="28"/>
        </w:rPr>
        <w:t>, Państwowe Wydawnictwo Naukowe, Warszawa 1963, s. 89–90, 1QS 5:25-6:1.</w:t>
        <w:br/>
      </w:r>
      <w:bookmarkStart w:id="62" w:name="footnote23"/>
      <w:r>
        <w:rPr>
          <w:rFonts w:ascii="Times New Roman" w:eastAsia="Times New Roman" w:hAnsi="Times New Roman" w:cs="Times New Roman"/>
          <w:noProof w:val="0"/>
          <w:sz w:val="28"/>
          <w:szCs w:val="30"/>
          <w:vertAlign w:val="superscript"/>
        </w:rPr>
        <w:t>23)</w:t>
      </w:r>
      <w:bookmarkEnd w:id="62"/>
      <w:r>
        <w:rPr>
          <w:rFonts w:ascii="Times New Roman" w:eastAsia="Times New Roman" w:hAnsi="Times New Roman" w:cs="Times New Roman"/>
          <w:noProof w:val="0"/>
          <w:sz w:val="28"/>
        </w:rPr>
        <w:t xml:space="preserve"> D.H. Stern, </w:t>
      </w:r>
      <w:r>
        <w:rPr>
          <w:rFonts w:ascii="Times New Roman" w:eastAsia="Times New Roman" w:hAnsi="Times New Roman" w:cs="Times New Roman"/>
          <w:i/>
          <w:iCs/>
          <w:noProof w:val="0"/>
          <w:sz w:val="28"/>
        </w:rPr>
        <w:t>Komentarz żydowski do Nowego Testamentu</w:t>
      </w:r>
      <w:r>
        <w:rPr>
          <w:rFonts w:ascii="Times New Roman" w:eastAsia="Times New Roman" w:hAnsi="Times New Roman" w:cs="Times New Roman"/>
          <w:noProof w:val="0"/>
          <w:sz w:val="28"/>
        </w:rPr>
        <w:t>, tłum. A. Czwojdrak, Oficyna Wydawnicza „Vocatio”, Warszawa 2017, Wydanie czwarte (2017), s. 84.</w:t>
        <w:br/>
      </w:r>
      <w:bookmarkStart w:id="63" w:name="footnote24"/>
      <w:r>
        <w:rPr>
          <w:rFonts w:ascii="Times New Roman" w:eastAsia="Times New Roman" w:hAnsi="Times New Roman" w:cs="Times New Roman"/>
          <w:noProof w:val="0"/>
          <w:sz w:val="28"/>
          <w:szCs w:val="30"/>
          <w:vertAlign w:val="superscript"/>
        </w:rPr>
        <w:t>24)</w:t>
      </w:r>
      <w:bookmarkEnd w:id="63"/>
      <w:r>
        <w:rPr>
          <w:rFonts w:ascii="Times New Roman" w:eastAsia="Times New Roman" w:hAnsi="Times New Roman" w:cs="Times New Roman"/>
          <w:noProof w:val="0"/>
          <w:sz w:val="28"/>
        </w:rPr>
        <w:t xml:space="preserve"> A. Paciorek, </w:t>
      </w:r>
      <w:r>
        <w:rPr>
          <w:rFonts w:ascii="Times New Roman" w:eastAsia="Times New Roman" w:hAnsi="Times New Roman" w:cs="Times New Roman"/>
          <w:i/>
          <w:iCs/>
          <w:noProof w:val="0"/>
          <w:sz w:val="28"/>
        </w:rPr>
        <w:t>Ewangelia według świętego Mateusza. Cz. 2, Rozdziały 14 - 28</w:t>
      </w:r>
      <w:r>
        <w:rPr>
          <w:rFonts w:ascii="Times New Roman" w:eastAsia="Times New Roman" w:hAnsi="Times New Roman" w:cs="Times New Roman"/>
          <w:noProof w:val="0"/>
          <w:sz w:val="28"/>
        </w:rPr>
        <w:t>..., s. 226.</w:t>
        <w:br/>
      </w:r>
      <w:bookmarkStart w:id="64" w:name="footnote25"/>
      <w:r>
        <w:rPr>
          <w:rFonts w:ascii="Times New Roman" w:eastAsia="Times New Roman" w:hAnsi="Times New Roman" w:cs="Times New Roman"/>
          <w:noProof w:val="0"/>
          <w:sz w:val="28"/>
          <w:szCs w:val="30"/>
          <w:vertAlign w:val="superscript"/>
        </w:rPr>
        <w:t>25)</w:t>
      </w:r>
      <w:bookmarkEnd w:id="64"/>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Didache</w:t>
      </w:r>
      <w:r>
        <w:rPr>
          <w:rFonts w:ascii="Times New Roman" w:eastAsia="Times New Roman" w:hAnsi="Times New Roman" w:cs="Times New Roman"/>
          <w:noProof w:val="0"/>
          <w:sz w:val="28"/>
        </w:rPr>
        <w:t>, KChB NDM, Nowy Dwór Mazowiecki 2022, w. 15:3.</w:t>
        <w:br/>
      </w:r>
      <w:bookmarkStart w:id="65" w:name="footnote26"/>
      <w:r>
        <w:rPr>
          <w:rFonts w:ascii="Times New Roman" w:eastAsia="Times New Roman" w:hAnsi="Times New Roman" w:cs="Times New Roman"/>
          <w:noProof w:val="0"/>
          <w:sz w:val="28"/>
          <w:szCs w:val="30"/>
          <w:vertAlign w:val="superscript"/>
        </w:rPr>
        <w:t>26)</w:t>
      </w:r>
      <w:bookmarkEnd w:id="65"/>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Mt 18:17.</w:t>
        <w:br/>
      </w:r>
      <w:bookmarkStart w:id="66" w:name="footnote27"/>
      <w:r>
        <w:rPr>
          <w:rFonts w:ascii="Times New Roman" w:eastAsia="Times New Roman" w:hAnsi="Times New Roman" w:cs="Times New Roman"/>
          <w:noProof w:val="0"/>
          <w:sz w:val="28"/>
          <w:szCs w:val="30"/>
          <w:vertAlign w:val="superscript"/>
        </w:rPr>
        <w:t>27)</w:t>
      </w:r>
      <w:bookmarkEnd w:id="66"/>
      <w:r>
        <w:rPr>
          <w:rFonts w:ascii="Times New Roman" w:eastAsia="Times New Roman" w:hAnsi="Times New Roman" w:cs="Times New Roman"/>
          <w:noProof w:val="0"/>
          <w:sz w:val="28"/>
        </w:rPr>
        <w:t xml:space="preserve"> Tamże, w. Mt 16:18.</w:t>
        <w:br/>
      </w:r>
      <w:bookmarkStart w:id="67" w:name="footnote28"/>
      <w:r>
        <w:rPr>
          <w:rFonts w:ascii="Times New Roman" w:eastAsia="Times New Roman" w:hAnsi="Times New Roman" w:cs="Times New Roman"/>
          <w:noProof w:val="0"/>
          <w:sz w:val="28"/>
          <w:szCs w:val="30"/>
          <w:vertAlign w:val="superscript"/>
        </w:rPr>
        <w:t>28)</w:t>
      </w:r>
      <w:bookmarkEnd w:id="67"/>
      <w:r>
        <w:rPr>
          <w:rFonts w:ascii="Times New Roman" w:eastAsia="Times New Roman" w:hAnsi="Times New Roman" w:cs="Times New Roman"/>
          <w:noProof w:val="0"/>
          <w:sz w:val="28"/>
        </w:rPr>
        <w:t xml:space="preserve"> C. Mitch i E. Sri, </w:t>
      </w:r>
      <w:r>
        <w:rPr>
          <w:rFonts w:ascii="Times New Roman" w:eastAsia="Times New Roman" w:hAnsi="Times New Roman" w:cs="Times New Roman"/>
          <w:i/>
          <w:iCs/>
          <w:noProof w:val="0"/>
          <w:sz w:val="28"/>
        </w:rPr>
        <w:t>Ewangelia według św. Mateusza</w:t>
      </w:r>
      <w:r>
        <w:rPr>
          <w:rFonts w:ascii="Times New Roman" w:eastAsia="Times New Roman" w:hAnsi="Times New Roman" w:cs="Times New Roman"/>
          <w:noProof w:val="0"/>
          <w:sz w:val="28"/>
        </w:rPr>
        <w:t>..., s. 249.</w:t>
        <w:br/>
      </w:r>
      <w:bookmarkStart w:id="68" w:name="footnote29"/>
      <w:r>
        <w:rPr>
          <w:rFonts w:ascii="Times New Roman" w:eastAsia="Times New Roman" w:hAnsi="Times New Roman" w:cs="Times New Roman"/>
          <w:noProof w:val="0"/>
          <w:sz w:val="28"/>
          <w:szCs w:val="30"/>
          <w:vertAlign w:val="superscript"/>
        </w:rPr>
        <w:t>29)</w:t>
      </w:r>
      <w:bookmarkEnd w:id="68"/>
      <w:r>
        <w:rPr>
          <w:rFonts w:ascii="Times New Roman" w:eastAsia="Times New Roman" w:hAnsi="Times New Roman" w:cs="Times New Roman"/>
          <w:noProof w:val="0"/>
          <w:sz w:val="28"/>
        </w:rPr>
        <w:t xml:space="preserve"> W. MacDonald,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s. 77.</w:t>
        <w:br/>
      </w:r>
      <w:bookmarkStart w:id="69" w:name="footnote30"/>
      <w:r>
        <w:rPr>
          <w:rFonts w:ascii="Times New Roman" w:eastAsia="Times New Roman" w:hAnsi="Times New Roman" w:cs="Times New Roman"/>
          <w:noProof w:val="0"/>
          <w:sz w:val="28"/>
          <w:szCs w:val="30"/>
          <w:vertAlign w:val="superscript"/>
        </w:rPr>
        <w:t>30)</w:t>
      </w:r>
      <w:bookmarkEnd w:id="69"/>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Mt 18:18-20.</w:t>
        <w:br/>
      </w:r>
      <w:bookmarkStart w:id="70" w:name="footnote31"/>
      <w:r>
        <w:rPr>
          <w:rFonts w:ascii="Times New Roman" w:eastAsia="Times New Roman" w:hAnsi="Times New Roman" w:cs="Times New Roman"/>
          <w:noProof w:val="0"/>
          <w:sz w:val="28"/>
          <w:szCs w:val="30"/>
          <w:vertAlign w:val="superscript"/>
        </w:rPr>
        <w:t>31)</w:t>
      </w:r>
      <w:bookmarkEnd w:id="70"/>
      <w:r>
        <w:rPr>
          <w:rFonts w:ascii="Times New Roman" w:eastAsia="Times New Roman" w:hAnsi="Times New Roman" w:cs="Times New Roman"/>
          <w:noProof w:val="0"/>
          <w:sz w:val="28"/>
        </w:rPr>
        <w:t xml:space="preserve"> J. MacArthur i R. Mayhue, </w:t>
      </w:r>
      <w:r>
        <w:rPr>
          <w:rFonts w:ascii="Times New Roman" w:eastAsia="Times New Roman" w:hAnsi="Times New Roman" w:cs="Times New Roman"/>
          <w:i/>
          <w:iCs/>
          <w:noProof w:val="0"/>
          <w:sz w:val="28"/>
        </w:rPr>
        <w:t>Doktryna biblijna</w:t>
      </w:r>
      <w:r>
        <w:rPr>
          <w:rFonts w:ascii="Times New Roman" w:eastAsia="Times New Roman" w:hAnsi="Times New Roman" w:cs="Times New Roman"/>
          <w:noProof w:val="0"/>
          <w:sz w:val="28"/>
        </w:rPr>
        <w:t>, tłum. J. Pazio, Wydawnictwo „Amor Veritatis”, Wejherowo 2022, s. 833.</w:t>
        <w:br/>
      </w:r>
      <w:bookmarkStart w:id="71" w:name="footnote32"/>
      <w:r>
        <w:rPr>
          <w:rFonts w:ascii="Times New Roman" w:eastAsia="Times New Roman" w:hAnsi="Times New Roman" w:cs="Times New Roman"/>
          <w:noProof w:val="0"/>
          <w:sz w:val="28"/>
          <w:szCs w:val="30"/>
          <w:vertAlign w:val="superscript"/>
        </w:rPr>
        <w:t>32)</w:t>
      </w:r>
      <w:bookmarkEnd w:id="71"/>
      <w:r>
        <w:rPr>
          <w:rFonts w:ascii="Times New Roman" w:eastAsia="Times New Roman" w:hAnsi="Times New Roman" w:cs="Times New Roman"/>
          <w:noProof w:val="0"/>
          <w:sz w:val="28"/>
        </w:rPr>
        <w:t xml:space="preserve"> por. C. Mitch i E. Sri, </w:t>
      </w:r>
      <w:r>
        <w:rPr>
          <w:rFonts w:ascii="Times New Roman" w:eastAsia="Times New Roman" w:hAnsi="Times New Roman" w:cs="Times New Roman"/>
          <w:i/>
          <w:iCs/>
          <w:noProof w:val="0"/>
          <w:sz w:val="28"/>
        </w:rPr>
        <w:t>Ewangelia według św. Mateusza</w:t>
      </w:r>
      <w:r>
        <w:rPr>
          <w:rFonts w:ascii="Times New Roman" w:eastAsia="Times New Roman" w:hAnsi="Times New Roman" w:cs="Times New Roman"/>
          <w:noProof w:val="0"/>
          <w:sz w:val="28"/>
        </w:rPr>
        <w:t>..., s. 250.</w:t>
        <w:br/>
      </w:r>
      <w:bookmarkStart w:id="72" w:name="footnote33"/>
      <w:r>
        <w:rPr>
          <w:rFonts w:ascii="Times New Roman" w:eastAsia="Times New Roman" w:hAnsi="Times New Roman" w:cs="Times New Roman"/>
          <w:noProof w:val="0"/>
          <w:sz w:val="28"/>
          <w:szCs w:val="30"/>
          <w:vertAlign w:val="superscript"/>
        </w:rPr>
        <w:t>33)</w:t>
      </w:r>
      <w:bookmarkEnd w:id="72"/>
      <w:r>
        <w:rPr>
          <w:rFonts w:ascii="Times New Roman" w:eastAsia="Times New Roman" w:hAnsi="Times New Roman" w:cs="Times New Roman"/>
          <w:noProof w:val="0"/>
          <w:sz w:val="28"/>
        </w:rPr>
        <w:t xml:space="preserve"> Jak to formułuje Stanisław Grzybek: „teologia nie może być tylko ściśle naukowa, nie może się ograniczać do rozważań metafizycznych i teoretycznych, ale musi być duszpasterska i praktyczna. Musi wzorować się na podawaniu prawdy Bożej przekazywanej nam przez Pismo św. i Ojców Kościoła. Wtedy będzie nauczać i wychowywać. Musi zatem innymi słowy, być kerygmatyczna” – S. Grzybek, </w:t>
      </w:r>
      <w:r>
        <w:rPr>
          <w:rFonts w:ascii="Times New Roman" w:eastAsia="Times New Roman" w:hAnsi="Times New Roman" w:cs="Times New Roman"/>
          <w:i/>
          <w:iCs/>
          <w:noProof w:val="0"/>
          <w:sz w:val="28"/>
        </w:rPr>
        <w:t>Kerygmatyczne wartości Pisma Świętego</w:t>
      </w:r>
      <w:r>
        <w:rPr>
          <w:rFonts w:ascii="Times New Roman" w:eastAsia="Times New Roman" w:hAnsi="Times New Roman" w:cs="Times New Roman"/>
          <w:noProof w:val="0"/>
          <w:sz w:val="28"/>
        </w:rPr>
        <w:t>, „Ruch Biblijny i Liturgiczny”, 1978, t. 31, nr 1, s. 2..</w:t>
        <w:br/>
      </w:r>
      <w:bookmarkStart w:id="73" w:name="footnote34"/>
      <w:r>
        <w:rPr>
          <w:rFonts w:ascii="Times New Roman" w:eastAsia="Times New Roman" w:hAnsi="Times New Roman" w:cs="Times New Roman"/>
          <w:noProof w:val="0"/>
          <w:sz w:val="28"/>
          <w:szCs w:val="30"/>
          <w:vertAlign w:val="superscript"/>
        </w:rPr>
        <w:t>34)</w:t>
      </w:r>
      <w:bookmarkEnd w:id="73"/>
      <w:r>
        <w:rPr>
          <w:rFonts w:ascii="Times New Roman" w:eastAsia="Times New Roman" w:hAnsi="Times New Roman" w:cs="Times New Roman"/>
          <w:noProof w:val="0"/>
          <w:sz w:val="28"/>
        </w:rPr>
        <w:t xml:space="preserve"> Augustyn, </w:t>
      </w:r>
      <w:r>
        <w:rPr>
          <w:rFonts w:ascii="Times New Roman" w:eastAsia="Times New Roman" w:hAnsi="Times New Roman" w:cs="Times New Roman"/>
          <w:i/>
          <w:iCs/>
          <w:noProof w:val="0"/>
          <w:sz w:val="28"/>
        </w:rPr>
        <w:t>Kazania do Ewangelii według św. Mateusza</w:t>
      </w:r>
      <w:r>
        <w:rPr>
          <w:rFonts w:ascii="Times New Roman" w:eastAsia="Times New Roman" w:hAnsi="Times New Roman" w:cs="Times New Roman"/>
          <w:noProof w:val="0"/>
          <w:sz w:val="28"/>
        </w:rPr>
        <w:t>, tłum. A. Żurek, Wydawnictwo WAM, Kraków 2022, t. 88, Źródła myśli teologicznej, s. 344.</w:t>
        <w:br/>
      </w:r>
      <w:bookmarkStart w:id="74" w:name="footnote35"/>
      <w:r>
        <w:rPr>
          <w:rFonts w:ascii="Times New Roman" w:eastAsia="Times New Roman" w:hAnsi="Times New Roman" w:cs="Times New Roman"/>
          <w:noProof w:val="0"/>
          <w:sz w:val="28"/>
          <w:szCs w:val="30"/>
          <w:vertAlign w:val="superscript"/>
        </w:rPr>
        <w:t>35)</w:t>
      </w:r>
      <w:bookmarkEnd w:id="74"/>
      <w:r>
        <w:rPr>
          <w:rFonts w:ascii="Times New Roman" w:eastAsia="Times New Roman" w:hAnsi="Times New Roman" w:cs="Times New Roman"/>
          <w:noProof w:val="0"/>
          <w:sz w:val="28"/>
        </w:rPr>
        <w:t xml:space="preserve"> A.W. Wardin, </w:t>
      </w:r>
      <w:r>
        <w:rPr>
          <w:rFonts w:ascii="Times New Roman" w:eastAsia="Times New Roman" w:hAnsi="Times New Roman" w:cs="Times New Roman"/>
          <w:i/>
          <w:iCs/>
          <w:noProof w:val="0"/>
          <w:sz w:val="28"/>
        </w:rPr>
        <w:t>Gotfryd Fryderyk Alf: pionier ruchu baptystycznego na ziemiach polskich</w:t>
      </w:r>
      <w:r>
        <w:rPr>
          <w:rFonts w:ascii="Times New Roman" w:eastAsia="Times New Roman" w:hAnsi="Times New Roman" w:cs="Times New Roman"/>
          <w:noProof w:val="0"/>
          <w:sz w:val="28"/>
        </w:rPr>
        <w:t>, Wyższe Baptystyczne Seminarium Teologiczne, Warszawa 2003, Wyd. 1, s. 39.</w:t>
        <w:br/>
      </w:r>
      <w:bookmarkStart w:id="75" w:name="footnote36"/>
      <w:r>
        <w:rPr>
          <w:rFonts w:ascii="Times New Roman" w:eastAsia="Times New Roman" w:hAnsi="Times New Roman" w:cs="Times New Roman"/>
          <w:noProof w:val="0"/>
          <w:sz w:val="28"/>
          <w:szCs w:val="30"/>
          <w:vertAlign w:val="superscript"/>
        </w:rPr>
        <w:t>36)</w:t>
      </w:r>
      <w:bookmarkEnd w:id="75"/>
      <w:r>
        <w:rPr>
          <w:rFonts w:ascii="Times New Roman" w:eastAsia="Times New Roman" w:hAnsi="Times New Roman" w:cs="Times New Roman"/>
          <w:noProof w:val="0"/>
          <w:sz w:val="28"/>
        </w:rPr>
        <w:t xml:space="preserve"> J. MacArthur i R. Mayhue, </w:t>
      </w:r>
      <w:r>
        <w:rPr>
          <w:rFonts w:ascii="Times New Roman" w:eastAsia="Times New Roman" w:hAnsi="Times New Roman" w:cs="Times New Roman"/>
          <w:i/>
          <w:iCs/>
          <w:noProof w:val="0"/>
          <w:sz w:val="28"/>
        </w:rPr>
        <w:t>Doktryna</w:t>
      </w:r>
      <w:r>
        <w:rPr>
          <w:rFonts w:ascii="Times New Roman" w:eastAsia="Times New Roman" w:hAnsi="Times New Roman" w:cs="Times New Roman"/>
          <w:noProof w:val="0"/>
          <w:sz w:val="28"/>
        </w:rPr>
        <w:t>..., s. 832.</w:t>
        <w:br/>
      </w:r>
      <w:bookmarkStart w:id="76" w:name="footnote37"/>
      <w:r>
        <w:rPr>
          <w:rFonts w:ascii="Times New Roman" w:eastAsia="Times New Roman" w:hAnsi="Times New Roman" w:cs="Times New Roman"/>
          <w:noProof w:val="0"/>
          <w:sz w:val="28"/>
          <w:szCs w:val="30"/>
          <w:vertAlign w:val="superscript"/>
        </w:rPr>
        <w:t>37)</w:t>
      </w:r>
      <w:bookmarkEnd w:id="76"/>
      <w:r>
        <w:rPr>
          <w:rFonts w:ascii="Times New Roman" w:eastAsia="Times New Roman" w:hAnsi="Times New Roman" w:cs="Times New Roman"/>
          <w:noProof w:val="0"/>
          <w:sz w:val="28"/>
        </w:rPr>
        <w:t xml:space="preserve"> C. Burges i in., </w:t>
      </w:r>
      <w:r>
        <w:rPr>
          <w:rFonts w:ascii="Times New Roman" w:eastAsia="Times New Roman" w:hAnsi="Times New Roman" w:cs="Times New Roman"/>
          <w:i/>
          <w:iCs/>
          <w:noProof w:val="0"/>
          <w:sz w:val="28"/>
        </w:rPr>
        <w:t>Westminsterskie wyznanie wiary: przekład z manuskryptu Corneliusa Burgesa (1646) wraz z tekstem krytycznym Johna R. Bowera (2020)</w:t>
      </w:r>
      <w:r>
        <w:rPr>
          <w:rFonts w:ascii="Times New Roman" w:eastAsia="Times New Roman" w:hAnsi="Times New Roman" w:cs="Times New Roman"/>
          <w:noProof w:val="0"/>
          <w:sz w:val="28"/>
        </w:rPr>
        <w:t>, Instytut Tolle Lege, Warszawa 2022, Wydanie I, s. 107, Rozdział XXX.III.</w:t>
        <w:br/>
      </w:r>
      <w:bookmarkStart w:id="77" w:name="footnote38"/>
      <w:r>
        <w:rPr>
          <w:rFonts w:ascii="Times New Roman" w:eastAsia="Times New Roman" w:hAnsi="Times New Roman" w:cs="Times New Roman"/>
          <w:noProof w:val="0"/>
          <w:sz w:val="28"/>
          <w:szCs w:val="30"/>
          <w:vertAlign w:val="superscript"/>
        </w:rPr>
        <w:t>38)</w:t>
      </w:r>
      <w:bookmarkEnd w:id="77"/>
      <w:r>
        <w:rPr>
          <w:rFonts w:ascii="Times New Roman" w:eastAsia="Times New Roman" w:hAnsi="Times New Roman" w:cs="Times New Roman"/>
          <w:noProof w:val="0"/>
          <w:sz w:val="28"/>
        </w:rPr>
        <w:t xml:space="preserve"> J. MacArthur, </w:t>
      </w:r>
      <w:r>
        <w:rPr>
          <w:rFonts w:ascii="Times New Roman" w:eastAsia="Times New Roman" w:hAnsi="Times New Roman" w:cs="Times New Roman"/>
          <w:i/>
          <w:iCs/>
          <w:noProof w:val="0"/>
          <w:sz w:val="28"/>
        </w:rPr>
        <w:t>Komentarz do NT</w:t>
      </w:r>
      <w:r>
        <w:rPr>
          <w:rFonts w:ascii="Times New Roman" w:eastAsia="Times New Roman" w:hAnsi="Times New Roman" w:cs="Times New Roman"/>
          <w:noProof w:val="0"/>
          <w:sz w:val="28"/>
        </w:rPr>
        <w:t>..., s. 97.</w:t>
        <w:br/>
      </w:r>
      <w:bookmarkStart w:id="78" w:name="footnote39"/>
      <w:r>
        <w:rPr>
          <w:rFonts w:ascii="Times New Roman" w:eastAsia="Times New Roman" w:hAnsi="Times New Roman" w:cs="Times New Roman"/>
          <w:noProof w:val="0"/>
          <w:sz w:val="28"/>
          <w:szCs w:val="30"/>
          <w:vertAlign w:val="superscript"/>
        </w:rPr>
        <w:t>39)</w:t>
      </w:r>
      <w:bookmarkEnd w:id="78"/>
      <w:r>
        <w:rPr>
          <w:rFonts w:ascii="Times New Roman" w:eastAsia="Times New Roman" w:hAnsi="Times New Roman" w:cs="Times New Roman"/>
          <w:noProof w:val="0"/>
          <w:sz w:val="28"/>
        </w:rPr>
        <w:t xml:space="preserve"> por. J. MacArthur i R. Mayhue, </w:t>
      </w:r>
      <w:r>
        <w:rPr>
          <w:rFonts w:ascii="Times New Roman" w:eastAsia="Times New Roman" w:hAnsi="Times New Roman" w:cs="Times New Roman"/>
          <w:i/>
          <w:iCs/>
          <w:noProof w:val="0"/>
          <w:sz w:val="28"/>
        </w:rPr>
        <w:t>Doktryna</w:t>
      </w:r>
      <w:r>
        <w:rPr>
          <w:rFonts w:ascii="Times New Roman" w:eastAsia="Times New Roman" w:hAnsi="Times New Roman" w:cs="Times New Roman"/>
          <w:noProof w:val="0"/>
          <w:sz w:val="28"/>
        </w:rPr>
        <w:t>..., s. 831.</w:t>
        <w:br/>
      </w:r>
      <w:bookmarkStart w:id="79" w:name="footnote40"/>
      <w:r>
        <w:rPr>
          <w:rFonts w:ascii="Times New Roman" w:eastAsia="Times New Roman" w:hAnsi="Times New Roman" w:cs="Times New Roman"/>
          <w:noProof w:val="0"/>
          <w:sz w:val="28"/>
          <w:szCs w:val="30"/>
          <w:vertAlign w:val="superscript"/>
        </w:rPr>
        <w:t>40)</w:t>
      </w:r>
      <w:bookmarkEnd w:id="79"/>
      <w:r>
        <w:rPr>
          <w:rFonts w:ascii="Times New Roman" w:eastAsia="Times New Roman" w:hAnsi="Times New Roman" w:cs="Times New Roman"/>
          <w:noProof w:val="0"/>
          <w:sz w:val="28"/>
        </w:rPr>
        <w:t xml:space="preserve"> Tamże, s. 835.</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2024-05-18T16:28:57Z</dcterms:modified>
</cp:coreProperties>
</file>