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dla dwóch krat, dwa rzędy jabłek granatu dla jednej kraty dla pokrycia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tych dwóch siatek, po dwa rzędy jabłek granatu na każdą siatkę,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onych dwóch siatkach; dwa rzędy jabłek granatowych były na każdej siatce,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dwu siatkach: dwa rzędy jabłek granatowych na każdej siatce ku okryciu sznurów kapitellów,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czterysta jabłek granatu na obydwu siatkach, po dwa rzędy jabłek granatu na każdej siatce;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dla tych dwóch plecionek, po dwa rzędy jabłek dla każdej plecionki do pokrycia dwóch okrągłych głowic umieszczonych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na obydwu siatkach, po dwa rzędy jabłek granatu na każdej siatce, aby okrywały dwa kuliste kapitele, znajdujące się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 po dwa rzędy owoców granatu w każdym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obu siatek, dwa rzędy jabłek granatu na każdą siatkę, aby okrywały obydwie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двері і приміщення чотирикутні, зроблені як кімнати, і потрійні від дверей до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granatów dla dwóch plecionek; po dwa rzędy granatów dla każdej plecionki, które ubierały dwa kuliste kapitele, umieszczone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dwóch siatek, dwa rzędy jabłek granatu do każdej siatki, żeby przykryć dwie głowice w kształcie czasz, znajdujące się na dwóch kolumnach;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2024-06-02T03:10:24Z</dcterms:modified>
</cp:coreProperties>
</file>