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nią okrycie z garbowanych skór,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 nad nią od góry pokrowiec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wykonany z fioletu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położą na niej przykrycie ze skór borsuczych i na tym rozciągną nakrycie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włożą na nię przykrycie z borsukowych skór, i przykryją z wierzchu wszystko oponą hijacyntową, i założą drążki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okryją zaś przykryciem z skór fiołkowej farby, i rozciągną na wierzchu przykrycie wszytko z hiacyntu,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pokrowiec ze skóry delfinów, a na tym rozciągną tkaninę całą z fioletowej purpury, wreszcie złożą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niej okrycie ze skór borsuczych, a na nim rozciągną sukno z błękitnej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ze skóry borsuków, a na tym rozciągną narzutę całą z fioletowej purpury. Wreszcie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tym okrycie ze skóry borsuczej, następnie tkaninę z fioletowej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nią pokrowiec ze skóry borsuczej, a od góry rozciągną nakrycie, całe z ciemnej purpury, po czym założą też drążki [do niesienia]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Położą na niej przykrycie ze skór wielobarwnych i rozciągną nad nim pokrowiec, cały z czystej niebieskiej [wełny]. Wtedy 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шкіряне синє покривало, і покладуть на нього зверху одіж всю синю, і вкладуть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na nią pokrowiec z borsuczej skóry, z wierzchu rozciągną całą z błękitu zasłonę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nią nakrycie ze skór foczych, a na wierzchu rozciągną całą niebieską tkaninę, i założą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2024-05-29T09:18:37Z</dcterms:modified>
</cp:coreProperties>
</file>