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krągłości głowic, które były na szczycie obu kolumn, i dwie siatki dla okrycia dwóch krągłości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okrągłe głowice na szczytach obu kolumn. Dwie kraty dla 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mianowicie dwie kolumny,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okrągłe głowice, które były na szczycie dwóch kolumn, dwie siatki do pokrycia tych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dwa słupy, i dwie gałki okrągłe, które były na wierzchu dwóch słupów, i dwie siatki,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słupy i sznury kapitellów nad kapitellami słupów dwu, i dwie siatce, żeby okrywały dwa sznury,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dwóch kolumn, następnie dwie siatki do pokrycia dwóch owalnych głowic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dwie kolumny wraz z dwiema okrągłymi głowicami na wierzchach kolumn oraz dwie plecionki do pokrycia dwóch okrągłych głowic na wierzchach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kolumny z okrągłymi kapitelami, które je wieńczyły, oraz dwie siatki, aby okrywały dwa kuliste kapitele, znajdujące się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owalne głowice zwieńczające kolumny, dwa ornamenty w kształcie sieci dla ozdoby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kolumny; kule głowic, które [zdobiły] szczyty obydwu kolumn; dwie siatki, okrywające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три покої і потрійні приміщення напроти приміщення.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dwa koliste kapitele, które znajdowały się na wierzchu kolumn i dwie plecionki dla przybrania kulistych kapiteli,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głowice w kształcie czasz, które były na szczycie tych dwóch kolumn, i dwie siatki?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2024-06-02T03:00:04Z</dcterms:modified>
</cp:coreProperties>
</file>