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2024-06-01T17:58:01Z</dcterms:modified>
</cp:coreProperties>
</file>