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nią okrycie z garbowanych skór,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 nad nią od góry pokrowiec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wykonany z fioletu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położą na niej przykrycie ze skór borsuczych i na tym rozciągną nakrycie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włożą na nię przykrycie z borsukowych skór, i przykryją z wierzchu wszystko oponą hijacyntową, i założą drążki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okryją zaś przykryciem z skór fiołkowej farby, i rozciągną na wierzchu przykrycie wszytko z hiacyntu,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pokrowiec ze skóry delfinów, a na tym rozciągną tkaninę całą z fioletowej purpury, wreszcie złożą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niej okrycie ze skór borsuczych, a na nim rozciągną sukno z błękitnej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ze skóry borsuków, a na tym rozciągną narzutę całą z fioletowej purpury. Wreszcie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tym okrycie ze skóry borsuczej, następnie tkaninę z fioletowej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nią pokrowiec ze skóry borsuczej, a od góry rozciągną nakrycie, całe z ciemnej purpury, po czym założą też drążki [do niesienia]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Położą na niej przykrycie ze skór wielobarwnych i rozciągną nad nim pokrowiec, cały z czystej niebieskiej [wełny]. Wtedy 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шкіряне синє покривало, і покладуть на нього зверху одіж всю синю, і вкладуть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na nią pokrowiec z borsuczej skóry, z wierzchu rozciągną całą z błękitu zasłonę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nią nakrycie ze skór foczych, a na wierzchu rozciągną całą niebieską tkaninę, i założą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2024-06-03T02:20:17Z</dcterms:modified>
</cp:coreProperties>
</file>