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poszedł za Asztartą, boginią Sydończyków, i za Milkomem,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udał się Salomon za Astarotą, boginią Sydońską, i za Molochem,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chwalił Salomon Astartę, boginią Sydońską, i Molocha, bałwana Ammońskiego.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czcić Asztartę, boginię Sydończyków, oraz 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poszedł Salomon za Asztartą, boginią Sydończyków, i za Milkomem, ohydnym bałwanem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obrzydliwego boga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Asztartą,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збудував високі місця Хамосові, ідолові Моава, і їхньому цареві ідолові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chodził za Astartą – bóstwem Cydończyków, i za Malkamem –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chodzić za Asztarte, boginią Sydończyków, i za Milkomem, obrzydliwością Ammonitów.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2024-05-20T11:40:06Z</dcterms:modified>
</cp:coreProperties>
</file>