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2024-05-20T11:08:19Z</dcterms:modified>
</cp:coreProperties>
</file>