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2024-04-23T20:23:58Z</dcterms:modified>
</cp:coreProperties>
</file>