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sale górne były krótsze – gdyż galerie im ujmowały (miejsca) – od (sal) dolnych i środkowych budowli.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Sale na drugim piętrze były węższe od tych na pierwszym i na parterze. Część przestrzeni zajmowały galerie.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górne komórki były węższe, ponieważ ich krużganki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szersze od tych w dolnej i środkowej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komórki najwyższe były ciaśniejsze, przeto, że ganki były szersze niż one, niżeli spodnie i średnie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były skarbnice na wierzchu niższe, bo trzymały na sobie ganki, które z nich wychodziły ze spodnich i ze śrzednich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Sale górne były węższe od dolnych i środkowych, gdyż galerie zajmowały część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górne hale budynku były wyższe niż dolne i środkowe, ponieważ galerie zabierały im nieco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Sale górne były węższe od budowli dolnych i środkowych, ponieważ umniejszały je galerie.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Sale górne były węższe od dolnych i środkowych, ponieważ pomniejszały je balkony.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Sale najwyższe były węższe niż środkowe i najniższe [sale] budowli, gdyż przez nie prowadziły galerie.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горішні проходи так само, бо з нього виходила колонада, з долішньої колонади, і місце між ними. Так колонада і місце між ними і так кімнати.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wyższe hale były skrócone, ponieważ galerie zabierały z ich powierzchni, w porównaniu ze środkowymi i dolnymi w tym budynku.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jadalni, najwyższe z nich były krótsze, bo galerie zajęły część ich miejsca, więcej niż tym najniższym i środkowym, w tej budowli.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2024-05-02T15:38:23Z</dcterms:modified>
</cp:coreProperties>
</file>