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– nie zlituje się twoje 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GK i G lm. Kara ta w ramach lex talionis sugeruje, że kobieta mogła trwale uszkodzić przyrodzenie mężczyzny, tak że adekwatną szkodą mogło być pozbawienie jej dłoni, szczególnie że euf. dla męskich organów rozrodczych jest w SP ręka, zob. &lt;x&gt;260 5:4&lt;/x&gt;; &lt;x&gt;290 57:8&lt;/x&gt;. Wskazanie na rękę jako ekwiwalent może też sugerować poważną wysokość odszkodowania, por. &lt;x&gt;20 21:22&lt;/x&gt;. Nie ma żadnych świadectw, aby to prawo, jak i prawo dotyczące nieposłusznego syna (&lt;x&gt;50 21:18-21&lt;/x&gt;) lub nieczystości przedmałżeńskiej (&lt;x&gt;50 22:20-21&lt;/x&gt;) było kiedykolwiek zastosowane.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2024-04-27T20:43:06Z</dcterms:modified>
</cp:coreProperties>
</file>