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 (nawet tego), kto nie jest niewinny,* zostaje on ocalony dzięki czystości swoich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ten, kto nie jest niewinny, </w:t>
      </w:r>
      <w:r>
        <w:rPr>
          <w:rtl/>
        </w:rPr>
        <w:t>אִי־נָקִי</w:t>
      </w:r>
      <w:r>
        <w:rPr>
          <w:rtl w:val="0"/>
        </w:rPr>
        <w:t xml:space="preserve"> , hl: (1) </w:t>
      </w:r>
      <w:r>
        <w:rPr>
          <w:rtl/>
        </w:rPr>
        <w:t>אִי</w:t>
      </w:r>
      <w:r>
        <w:rPr>
          <w:rtl w:val="0"/>
        </w:rPr>
        <w:t xml:space="preserve"> łączone jest z arab. ‘ajja, a zatem: każdego, kto jest niewinny; (2) em. na: człowieka, </w:t>
      </w:r>
      <w:r>
        <w:rPr>
          <w:rtl/>
        </w:rPr>
        <w:t>אִיׁש</w:t>
      </w:r>
      <w:r>
        <w:rPr>
          <w:rtl w:val="0"/>
        </w:rPr>
        <w:t xml:space="preserve"> , a zatem: człowieka niewinnego.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2024-05-02T14:31:35Z</dcterms:modified>
</cp:coreProperties>
</file>