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zatacza się* trwoga.**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zatacza się, ּ</w:t>
      </w:r>
      <w:r>
        <w:rPr>
          <w:rtl/>
        </w:rPr>
        <w:t>תָדּוץ</w:t>
      </w:r>
      <w:r>
        <w:rPr>
          <w:rtl w:val="0"/>
        </w:rPr>
        <w:t xml:space="preserve"> , od aram. ּ</w:t>
      </w:r>
      <w:r>
        <w:rPr>
          <w:rtl/>
        </w:rPr>
        <w:t>דּוץ</w:t>
      </w:r>
      <w:r>
        <w:rPr>
          <w:rtl w:val="0"/>
        </w:rPr>
        <w:t xml:space="preserve"> (duts), hl, lub: tańczy.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trwoga, ּ</w:t>
      </w:r>
      <w:r>
        <w:rPr>
          <w:rtl/>
        </w:rPr>
        <w:t>דְאָבָה</w:t>
      </w:r>
      <w:r>
        <w:rPr>
          <w:rtl w:val="0"/>
        </w:rPr>
        <w:t xml:space="preserve"> (de’awa h), hl, lub: rozpacz (?), por.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2024-04-28T04:57:54Z</dcterms:modified>
</cp:coreProperties>
</file>