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7"/>
        <w:gridCol w:w="6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Tak!* Będą je spożywać jego żniwiarze – i wysławiać JAHWE,** i pić go zbieracze (winogron) w przedsionkach mej świętości.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Tak!, ּ</w:t>
      </w:r>
      <w:r>
        <w:rPr>
          <w:rtl/>
        </w:rPr>
        <w:t>כִי</w:t>
      </w:r>
      <w:r>
        <w:rPr>
          <w:rtl w:val="0"/>
        </w:rPr>
        <w:t xml:space="preserve"> : wg 1QIsa a : Lecz, </w:t>
      </w:r>
      <w:r>
        <w:rPr>
          <w:rtl/>
        </w:rPr>
        <w:t>כיא אם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JHWH : wg 1QIsa a : Imię JHWH, </w:t>
      </w:r>
      <w:r>
        <w:rPr>
          <w:rtl/>
        </w:rPr>
        <w:t>שם יהוה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2024-04-30T05:30:48Z</dcterms:modified>
</cp:coreProperties>
</file>