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zaprzężony był w konie czerwone, drugi w 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pierwszym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rude, przy drugim rydwanie — konie kare;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rydze, a w drugim wozie konie wrone (kare):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poczwórnym konie rydze, a we wtórym poczwórnym konie wrone,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ciągnęły konie kasztanowate, drugi rydwan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kasztanowe, a w drugim wozie były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ciągnęły konie kasztanowate, a drugi czarne.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rydwanu były zaprzęgnięte konie gniade, do drugiego rydwanu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miał konie gniade, drugi wóz - konie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першій колісниці рижі коні, і в другій колісниці чорні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pierwszego rydwanu były konie ryże, a u drugiego rydwanu konie czarnej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konie czerwone, a przy drugim rydwanie konie czarne.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2024-04-29T03:13:40Z</dcterms:modified>
</cp:coreProperties>
</file>