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 spojrzał i zobaczył Dawida, zlekceważył go, gdyż był to (tylko) chłopiec, rudawy i przystojny.*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przystojny, </w:t>
      </w:r>
      <w:r>
        <w:rPr>
          <w:rtl/>
        </w:rPr>
        <w:t>עִם־יְפֵה מַרְאֶה</w:t>
      </w:r>
      <w:r>
        <w:rPr>
          <w:rtl w:val="0"/>
        </w:rPr>
        <w:t xml:space="preserve"> (‘im jefe h mar’e h), wg klk Mss (</w:t>
      </w:r>
      <w:r>
        <w:rPr>
          <w:rtl/>
        </w:rPr>
        <w:t>עינים</w:t>
      </w:r>
      <w:r>
        <w:rPr>
          <w:rtl w:val="0"/>
        </w:rPr>
        <w:t>) i G: z pięknymi oczami, μετὰ κάλλους ὀφθαλμῶν.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2024-05-05T08:47:50Z</dcterms:modified>
</cp:coreProperties>
</file>