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8"/>
        <w:gridCol w:w="4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wyprowadzą ― wody pełzające dusze żyjące i skrzydlate latające nad ― ziemią na ― sklepieniu ― nieba.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zapełnią wody rojem żywych istot,* a nad ziemią niech zatrzepocze ptactwo na obliczu sklepienia niebios!**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rojem żywych istot, ׁ</w:t>
      </w:r>
      <w:r>
        <w:rPr>
          <w:rtl/>
        </w:rPr>
        <w:t>שֶרֶץ נֶפֶׁש חַּיָה</w:t>
      </w:r>
      <w:r>
        <w:rPr>
          <w:rtl w:val="0"/>
        </w:rPr>
        <w:t xml:space="preserve"> , tj. rojem żywej duszy (l. żywego tchnienia). Co do </w:t>
      </w:r>
      <w:r>
        <w:rPr>
          <w:rtl/>
        </w:rPr>
        <w:t>חַּיָה נֶפֶׁש</w:t>
      </w:r>
      <w:r>
        <w:rPr>
          <w:rtl w:val="0"/>
        </w:rPr>
        <w:t xml:space="preserve"> (nefesz chajja h), zob. &lt;x&gt;10 1:24&lt;/x&gt;.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i tak się stało, καὶ ἐγένετο οὕτως.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2024-04-20T08:34:12Z</dcterms:modified>
</cp:coreProperties>
</file>