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 – przez wszystkie swoje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wszystkie swoje dni, ּ</w:t>
      </w:r>
      <w:r>
        <w:rPr>
          <w:rtl/>
        </w:rPr>
        <w:t>כָל־יָמָיו : (1</w:t>
      </w:r>
      <w:r>
        <w:rPr>
          <w:rtl w:val="0"/>
        </w:rPr>
        <w:t xml:space="preserve">) może się odnosić zarówno do Jeroboama, jak i do Menachema; (2) po em. na: w jego dniach, </w:t>
      </w:r>
      <w:r>
        <w:rPr>
          <w:rtl/>
        </w:rPr>
        <w:t>בְיֹמָיו</w:t>
      </w:r>
      <w:r>
        <w:rPr>
          <w:rtl w:val="0"/>
        </w:rPr>
        <w:t xml:space="preserve"> , może łączyć się z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2024-04-27T17:37:47Z</dcterms:modified>
</cp:coreProperties>
</file>