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2024-05-02T16:03:52Z</dcterms:modified>
</cp:coreProperties>
</file>