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3"/>
        <w:gridCol w:w="6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takiej roboty była podstawa: miały (one) zakończenia,* a te zakończenia były pomiędzy poprzeczkami.**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zakończenia, </w:t>
      </w:r>
      <w:r>
        <w:rPr>
          <w:rtl/>
        </w:rPr>
        <w:t>מִסְּגְרֹות</w:t>
      </w:r>
      <w:r>
        <w:rPr>
          <w:rtl w:val="0"/>
        </w:rPr>
        <w:t xml:space="preserve"> , lub: listwy, kanty, zapięcia, wypełnienia, zob. &lt;x&gt;20 25:26&lt;/x&gt;.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poprzeczkami, ׁ</w:t>
      </w:r>
      <w:r>
        <w:rPr>
          <w:rtl/>
        </w:rPr>
        <w:t>שְלַּבִים</w:t>
      </w:r>
      <w:r>
        <w:rPr>
          <w:rtl w:val="0"/>
        </w:rPr>
        <w:t xml:space="preserve"> , hl 2, zob. w. 29; wg G: występami, ἀνὰ μέσον τῶν ἐξεχομένων.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2024-05-02T03:51:40Z</dcterms:modified>
</cp:coreProperties>
</file>