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ich mądrością serca do wykonania wszelkich prac grawerskich* i trudnych w swym zamyśle, i hafciarskich we fiolecie i w purpurze, i w szkarłatnym karmazynie, i w bisiorze, oraz (prac) tkackich – do wykonawstwa wszelkiej pracy (wymagającej) obmyślenia (szczegółowego) planu.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 grawerskich, </w:t>
      </w:r>
      <w:r>
        <w:rPr>
          <w:rtl/>
        </w:rPr>
        <w:t>מְלֶאכֶת חָרָׁש</w:t>
      </w:r>
      <w:r>
        <w:rPr>
          <w:rtl w:val="0"/>
        </w:rPr>
        <w:t xml:space="preserve"> , l. kowalskich (&lt;x&gt;90 13:19&lt;/x&gt;), rzemiosła artystycznego (por. &lt;x&gt;290 44:9-11&lt;/x&gt;; &lt;x&gt;300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2024-04-27T20:26:28Z</dcterms:modified>
</cp:coreProperties>
</file>