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4"/>
        <w:gridCol w:w="1388"/>
        <w:gridCol w:w="65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Hojnie rozdziela, daje biedakom* – Jego sprawiedliwość trwa na wieki, Jego róg podniesie się w chwale.**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&lt;x&gt;230 118:6&lt;/x&gt;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Jego róg (…) chwale, </w:t>
      </w:r>
      <w:r>
        <w:rPr>
          <w:rtl/>
        </w:rPr>
        <w:t>קַרְנֹוּתָרּוםּבְכָבֹוד</w:t>
      </w:r>
      <w:r>
        <w:rPr>
          <w:rtl w:val="0"/>
        </w:rPr>
        <w:t xml:space="preserve"> , idiom odnoszący się do sprawności i siły militarnej: Jego wysiłki zostaną uwieńczone powodzeniem (zob. &lt;x&gt;90 2:10&lt;/x&gt;; &lt;x&gt;230 89:18&lt;/x&gt;, 25;&lt;x&gt;230 92:11&lt;/x&gt;; &lt;x&gt;310 2:17&lt;/x&gt;).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9:8&lt;/x&gt;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2024-05-15T16:57:40Z</dcterms:modified>
</cp:coreProperties>
</file>