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los synów ludzkich i los zwierząt – los ich taki sam. Jak ci umierają, tak umierają tamte – i wszyscy mają takiego samego ducha.* Człowiek nie ma żadnej przewagi nad zwierzęciem. Bo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takie samo tchnienie, l. jednego (l. takiego samego) ducha, </w:t>
      </w:r>
      <w:r>
        <w:rPr>
          <w:rtl/>
        </w:rPr>
        <w:t>אֶחָד רּוחַ</w:t>
      </w:r>
      <w:r>
        <w:rPr>
          <w:rtl w:val="0"/>
        </w:rPr>
        <w:t xml:space="preserve"> (ruach ’echad), πνεῦμα ἓν.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2024-04-28T14:31:17Z</dcterms:modified>
</cp:coreProperties>
</file>