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Nocami,* na moim łożu,** szukałam tego, którego kocha moja dusza, szukałam go, lecz go nie znalazłam.***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Nocami, ּ</w:t>
      </w:r>
      <w:r>
        <w:rPr>
          <w:rtl/>
        </w:rPr>
        <w:t>בַּלֵילֹות</w:t>
      </w:r>
      <w:r>
        <w:rPr>
          <w:rtl w:val="0"/>
        </w:rPr>
        <w:t xml:space="preserve"> (ballelot), może być rozumiane: (1) jako pl liczby: nocami, noc po nocy; (2) pl rozciągłości: przez całą noc; (3) pl okoliczności: w nocy; (4) pl natężenia (intensywności): głęboką nocą. W &lt;x&gt;260 3:8&lt;/x&gt; chodzi o pl liczby.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Łoże, </w:t>
      </w:r>
      <w:r>
        <w:rPr>
          <w:rtl/>
        </w:rPr>
        <w:t>מִׁשְּכָב</w:t>
      </w:r>
      <w:r>
        <w:rPr>
          <w:rtl w:val="0"/>
        </w:rPr>
        <w:t xml:space="preserve"> (miszkaw), pojawia się w kontekście aktu małżeńskiego w: &lt;x&gt;10 49:4&lt;/x&gt;; &lt;x&gt;30 18:22&lt;/x&gt;;&lt;x&gt;30 20:13&lt;/x&gt;; &lt;x&gt;40 31:17&lt;/x&gt;, 35; &lt;x&gt;70 21:11&lt;/x&gt;, 12; &lt;x&gt;240 7:17&lt;/x&gt;; &lt;x&gt;290 57:7-8&lt;/x&gt;, a w sposób najbardziej oczywisty – ּ</w:t>
      </w:r>
      <w:r>
        <w:rPr>
          <w:rtl/>
        </w:rPr>
        <w:t>דֹדִים מִׁשְּכָב</w:t>
      </w:r>
      <w:r>
        <w:rPr>
          <w:rtl w:val="0"/>
        </w:rPr>
        <w:t xml:space="preserve"> (miszkaw dodim) w &lt;x&gt;330 23:17&lt;/x&gt;.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wołałam go, ale mnie nie słyszał, ἐκάλεσα αὐτὸν καὶ οὐχ ὑπήκουσέν μου.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2024-05-09T19:15:50Z</dcterms:modified>
</cp:coreProperties>
</file>