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studnia* schładza swą wodę, tak chłodne jest jej zło. Słychać w niej o gwałcie i ucisku, mam przed sobą ciągle stłuczenia i sińce.**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studnia, wg qere ּ</w:t>
      </w:r>
      <w:r>
        <w:rPr>
          <w:rtl/>
        </w:rPr>
        <w:t>בַיִר</w:t>
      </w:r>
      <w:r>
        <w:rPr>
          <w:rtl w:val="0"/>
        </w:rPr>
        <w:t xml:space="preserve"> (bair), dawna forma dla ּ</w:t>
      </w:r>
      <w:r>
        <w:rPr>
          <w:rtl/>
        </w:rPr>
        <w:t>בְאֵר</w:t>
      </w:r>
      <w:r>
        <w:rPr>
          <w:rtl w:val="0"/>
        </w:rPr>
        <w:t xml:space="preserve"> ; cysterna, wg ketiw ּ</w:t>
      </w:r>
      <w:r>
        <w:rPr>
          <w:rtl/>
        </w:rPr>
        <w:t>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chorobę i ranę (l. cios, zbrodnię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2024-05-21T05:28:37Z</dcterms:modified>
</cp:coreProperties>
</file>