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5:22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Ja zaś mówię wam, że każdy ― wpadający w gniew ― </w:t>
            </w:r>
            <w:r>
              <w:rPr>
                <w:rFonts w:ascii="Times New Roman" w:eastAsia="Times New Roman" w:hAnsi="Times New Roman" w:cs="Times New Roman"/>
                <w:noProof w:val="0"/>
                <w:color w:val="A9A9A9"/>
                <w:sz w:val="24"/>
              </w:rPr>
              <w:t xml:space="preserve">[na] </w:t>
            </w:r>
            <w:r>
              <w:rPr>
                <w:rFonts w:ascii="Times New Roman" w:eastAsia="Times New Roman" w:hAnsi="Times New Roman" w:cs="Times New Roman"/>
                <w:noProof w:val="0"/>
                <w:sz w:val="24"/>
              </w:rPr>
              <w:t>brata jego podlegać będzie ― sądowi, kto zaś ― powiedziałby ― bratu jego "Raka" podlegać będzie ― "Sanhedrynowi". Kto zaś ― powiedziałby: "Głupcze", podlegać będzie pod ― Gehennę ― ognia.</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Ja wam mówię, że każdy, kto gniewa* się na swego brata, będzie winien sądu, a kto by powiedział swemu bratu: Raka,** będzie winien Sanhedrynu,*** a kto by powiedział: Głupcze,**** będzie winien ognia Gehenny.*****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Ja zaś mówię wam, że każdy gniewający się (na) brata jego podległy będzie sądowi. Który zaś powiedziałby bratu jego*: Raka**, podległy będzie sanhedrynowi, który zaś powiedziałby: Głupcze, podległy będzie w Gehennę ognia.</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 wam natomiast mówię: Każdy, kto żywi gniew względem swojego brata, będzie podlegał karze. Kto podepcze jego godność, stanie przed Radą Najwyższą,</w:t>
            </w:r>
            <w:r>
              <w:rPr>
                <w:rFonts w:ascii="Times New Roman" w:eastAsia="Times New Roman" w:hAnsi="Times New Roman" w:cs="Times New Roman"/>
                <w:noProof w:val="0"/>
                <w:sz w:val="24"/>
              </w:rPr>
              <w:t xml:space="preserve"> a kto go nazwie głupcem, skończy w ogniu miejsca wiecznej kary.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ja wam mówię: Każdy, kto się gniewa na swego brata bez przyczyny, podlega sądowi, a kto powie swemu bratu: Raka, podlega Radzie, a kto powie: Głupcze, podlega </w:t>
            </w:r>
            <w:r>
              <w:rPr>
                <w:rFonts w:ascii="Times New Roman" w:eastAsia="Times New Roman" w:hAnsi="Times New Roman" w:cs="Times New Roman"/>
                <w:i/>
                <w:iCs/>
                <w:noProof w:val="0"/>
                <w:sz w:val="24"/>
              </w:rPr>
              <w:t>karze</w:t>
            </w:r>
            <w:r>
              <w:rPr>
                <w:rFonts w:ascii="Times New Roman" w:eastAsia="Times New Roman" w:hAnsi="Times New Roman" w:cs="Times New Roman"/>
                <w:noProof w:val="0"/>
                <w:sz w:val="24"/>
              </w:rPr>
              <w:t xml:space="preserve"> ognia piekielnego.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Ale ja wam powiadam: Iż każdy, kto się gniewa na brata swego bez przyczyny, będzie winien sądu; a ktokolwiek rzecze bratu swemu: Racha; będzie winien rady, a ktokolwiek rzecze: Błaźnie! będzie winien ognia piekielnego.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ja wam powiadam, iż każdy, który się gniewa na brata swego, będzie winien sądu. A kto by rzekł bratu swojemu: raka, będzie winien rady. A kto by rzekł: głupcze, będzie winien ognia piekielnego.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Ja wam powiadam: Każdy, kto się gniewa na swego brata, podlega sądowi. A kto by rzekł swemu bratu: Raka, podlega Wysokiej Radzie. A kto by mu rzekł: Bezbożniku, podlega karze piekła ognistego.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 Ja wam powiadam, że każdy, kto się gniewa na brata swego, pójdzie pod sąd, a kto by rzekł bratu swemu: Racha, stanie przed Radą Najwyższą, a kto by rzekł: Głupcze, pójdzie w ogień piekielny.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Ja wam mówię: Każdy, kto by się gniewał na swego brata, zostanie osądzony, a kto by obraził swego brata, mówiąc: Raka, stanie przed trybunałem, kto by natomiast powiedział do swego brata: Ty głupcze, tego czeka ogień Gehenny.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Ja wam mówię, że każdy, kto się gniewa na swego brata, będzie osądzony. A kto powie bratu: «Głupcze», stanie przed Wysoką Radą. A jeśli mu powie: «Durniu», skazany zostanie na ogień potępienia.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A ja wam mówię, że każdy, kto gniewa się na swojego brata, będzie podlegał sądowi. A kto powie do swojego brata: Raka, będzie podlegał Sanhedrynowi. A kto powie: Głupi, będzie podlegał [wyrzuceniu] do gehenny ognia.</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A ja wam mówię: Kto się gniewa na swego brata, będzie oddany pod sąd: a kto powie do bliźniego - ty durniu! - winien stanąć przed trybunałem. Kto zaś powie - ty bezbożniku! - tego czeka ogień w piekle.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Ja wam powiadam: Każdy, kto gniewa się na swego brata, będzie winien sądu. A kto powie swemu bratu: głupcze, będzie winien Najwyższej Rady. A kto powie: bezbożniku, będzie winien piekła ognistego.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Я ж кажу вам, що кожний, хто гнівається на брата свого [безпідставно], підпадає під суд. Якщо хто скаже на свого брата: рака (нікчема, блазень, виродок), - той підпадає під верховний суд. А хто скаже: дурний, - той підпадає під вогняну геєнну.</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Ja zaś powiadam wam, że wszystek wrzący zapalczywością bratu swemu trzymany wewnątrz będzie w tym rozstrzygnięciu; który zaś by rzekłby bratu swemu: Próżniak, trzymany wewnątrz będzie w Radzie; który zaś by rzekłby: Przytępiony zdegradowany głupcze, trzymany wewnątrz będzie do tej geenny, tej ognia.</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ja wam powiadam, że każdy, kto bez przyczyny gniewa się na swojego brata, będzie podległy sądowi; a ktokolwiek by powiedział swojemu bratu: Raka, będzie podległy Radzie; a ktokolwiek by powiedział: Błaźnie, będzie podległy gehennie ognia.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Lecz ja wam powiadam, że ktokolwiek żywi gniew na swego brata, będzie podlegał sądowi, a kto nazwie brata nicponiem, stanie przed Sanhedrinem, kto zaś powie: "Głupcze!", podlega karze palenia w ogniu Gei-Hinnom!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Ja jednak wam mówię, że każdy, kto trwa w srogim gniewie na swego brata, będzie odpowiadał przed sądem; a kto by skierował do swego brata niegodne wymówienia słowo pogardy, będzie odpowiadał przed Sądem Najwyższym; kto zaś powie: ʼPodły głupcze!ʼ, będzie podlegał ognistej Gehennie.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 ja wam mówię: Każdy, kto się na kogoś gniewa, pójdzie pod sąd! A kto nazywa go głupcem, stanie przed Wysoką Radą. A kto nazwałby go idiotą, zasługuje na ogień piekielny.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&lt;x&gt;220 5:2&lt;/x&gt;; &lt;x&gt;230 37:8&lt;/x&gt;; &lt;x&gt;240 19:19&lt;/x&gt;; &lt;x&gt;250 7:9&lt;/x&gt;; &lt;x&gt;560 4:26&lt;/x&gt;; &lt;x&gt;660 1:19-20&lt;/x&gt;; &lt;x&gt;690 3:15&lt;/x&gt;</w:t>
      </w:r>
    </w:p>
  </w:footnote>
  <w:footnote w:id="3">
    <w:p>
      <w:pPr>
        <w:pStyle w:val="FootnoteText"/>
      </w:pPr>
      <w:r>
        <w:rPr>
          <w:rStyle w:val="FootnoteReference"/>
        </w:rPr>
        <w:t>2)</w:t>
      </w:r>
      <w:r>
        <w:t xml:space="preserve"> </w:t>
      </w:r>
      <w:r>
        <w:rPr>
          <w:rtl w:val="0"/>
        </w:rPr>
        <w:t xml:space="preserve">Raka, </w:t>
      </w:r>
      <w:r>
        <w:rPr>
          <w:rtl/>
        </w:rPr>
        <w:t>רֵיקָה</w:t>
      </w:r>
      <w:r>
        <w:rPr>
          <w:rtl w:val="0"/>
        </w:rPr>
        <w:t xml:space="preserve"> , ῥακά, aram. pusty; a zatem: pusta głowo.</w:t>
      </w:r>
    </w:p>
  </w:footnote>
  <w:footnote w:id="4">
    <w:p>
      <w:pPr>
        <w:pStyle w:val="FootnoteText"/>
      </w:pPr>
      <w:r>
        <w:rPr>
          <w:rStyle w:val="FootnoteReference"/>
        </w:rPr>
        <w:t>3)</w:t>
      </w:r>
      <w:r>
        <w:t xml:space="preserve"> </w:t>
      </w:r>
      <w:r>
        <w:t>&lt;x&gt;470 10:17&lt;/x&gt;; &lt;x&gt;470 26:59&lt;/x&gt;; &lt;x&gt;480 15:1&lt;/x&gt;; &lt;x&gt;500 11:47&lt;/x&gt;; &lt;x&gt;510 4:15&lt;/x&gt;; &lt;x&gt;510 5:21&lt;/x&gt;</w:t>
      </w:r>
    </w:p>
  </w:footnote>
  <w:footnote w:id="5">
    <w:p>
      <w:pPr>
        <w:pStyle w:val="FootnoteText"/>
      </w:pPr>
      <w:r>
        <w:rPr>
          <w:rStyle w:val="FootnoteReference"/>
        </w:rPr>
        <w:t>4)</w:t>
      </w:r>
      <w:r>
        <w:t xml:space="preserve"> </w:t>
      </w:r>
      <w:r>
        <w:rPr>
          <w:rtl w:val="0"/>
        </w:rPr>
        <w:t xml:space="preserve">Lub: tępaku, μωρέ, </w:t>
      </w:r>
      <w:r>
        <w:rPr>
          <w:rtl/>
        </w:rPr>
        <w:t>נָבָל</w:t>
      </w:r>
      <w:r>
        <w:rPr>
          <w:rtl w:val="0"/>
        </w:rPr>
        <w:t xml:space="preserve"> ; trans. </w:t>
      </w:r>
      <w:r>
        <w:rPr>
          <w:rtl/>
        </w:rPr>
        <w:t>מֹורֶה</w:t>
      </w:r>
      <w:r>
        <w:rPr>
          <w:rtl w:val="0"/>
        </w:rPr>
        <w:t xml:space="preserve"> (more h), &lt;x&gt;50 21:18&lt;/x&gt;, 20.</w:t>
      </w:r>
    </w:p>
  </w:footnote>
  <w:footnote w:id="6">
    <w:p>
      <w:pPr>
        <w:pStyle w:val="FootnoteText"/>
      </w:pPr>
      <w:r>
        <w:rPr>
          <w:rStyle w:val="FootnoteReference"/>
        </w:rPr>
        <w:t>5)</w:t>
      </w:r>
      <w:r>
        <w:t xml:space="preserve"> </w:t>
      </w:r>
      <w:r>
        <w:rPr>
          <w:rtl w:val="0"/>
        </w:rPr>
        <w:t>Gehenna, γέεννα, ּ</w:t>
      </w:r>
      <w:r>
        <w:rPr>
          <w:rtl/>
        </w:rPr>
        <w:t>גֵיהִּנֹם</w:t>
      </w:r>
      <w:r>
        <w:rPr>
          <w:rtl w:val="0"/>
        </w:rPr>
        <w:t xml:space="preserve"> (gehinnom), dolina Hinom; miejsce składania ofiar Molochowi (&lt;x&gt;120 23:10&lt;/x&gt;); nie to samo co Hades, który nigdy nie ozn. miejsca kary, lecz miejsce przebywania umarłych, niezależnie od ich statusu moralnego (&lt;x&gt;470 5:22&lt;/x&gt;L.). Ogień Gehenny, γέενναν τοῦ πυρός, to gen. qualitatis.</w:t>
      </w:r>
    </w:p>
  </w:footnote>
  <w:footnote w:id="7">
    <w:p>
      <w:pPr>
        <w:pStyle w:val="FootnoteText"/>
      </w:pPr>
      <w:r>
        <w:rPr>
          <w:rStyle w:val="FootnoteReference"/>
        </w:rPr>
        <w:t>6)</w:t>
      </w:r>
      <w:r>
        <w:t xml:space="preserve"> </w:t>
      </w:r>
      <w:r>
        <w:t>&lt;x&gt;470 5:29-30&lt;/x&gt;; &lt;x&gt;470 10:28&lt;/x&gt;; &lt;x&gt;470 18:9&lt;/x&gt;; &lt;x&gt;490 12:5&lt;/x&gt;</w:t>
      </w:r>
    </w:p>
  </w:footnote>
  <w:footnote w:id="8">
    <w:p>
      <w:pPr>
        <w:pStyle w:val="FootnoteText"/>
      </w:pPr>
      <w:r>
        <w:rPr>
          <w:rStyle w:val="FootnoteReference"/>
        </w:rPr>
        <w:t>7)</w:t>
      </w:r>
      <w:r>
        <w:t xml:space="preserve"> </w:t>
      </w:r>
      <w:r>
        <w:t>Wiele rękopisów dodaje tutaj słowa "bez powodu".</w:t>
      </w:r>
    </w:p>
  </w:footnote>
  <w:footnote w:id="9">
    <w:p>
      <w:pPr>
        <w:pStyle w:val="FootnoteText"/>
      </w:pPr>
      <w:r>
        <w:rPr>
          <w:rStyle w:val="FootnoteReference"/>
        </w:rPr>
        <w:t>8)</w:t>
      </w:r>
      <w:r>
        <w:t xml:space="preserve"> </w:t>
      </w:r>
      <w:r>
        <w:t>Słowo aramejskie "raka" znaczy prawdopodobnie "pustak".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2024-03-29T08:10:54Z</dcterms:modified>
</cp:coreProperties>
</file>