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4"/>
        <w:gridCol w:w="60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2024-06-02T13:37:56Z</dcterms:modified>
</cp:coreProperties>
</file>