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rzekę, i jak potok wezbrany chwałę narodów. Jej niemowlęta* przy boku będą noszone** i zabawiane*** na kolanach.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jej niemowlęta, za BHS: </w:t>
      </w:r>
      <w:r>
        <w:rPr>
          <w:rtl/>
        </w:rPr>
        <w:t>וְיֹנַקְּתָּה</w:t>
      </w:r>
      <w:r>
        <w:rPr>
          <w:rtl w:val="0"/>
        </w:rPr>
        <w:t xml:space="preserve"> (wejonaqtah), pod. G: ich niemowlęta, τὰ παιδία αὐτῶν. W MT wyr. to, </w:t>
      </w:r>
      <w:r>
        <w:rPr>
          <w:rtl/>
        </w:rPr>
        <w:t>וִינַקְּתֶם</w:t>
      </w:r>
      <w:r>
        <w:rPr>
          <w:rtl w:val="0"/>
        </w:rPr>
        <w:t xml:space="preserve"> (winaqtem), należy do wcześniejszego wiersza: chwałę narodów będziecie ssać; przy boku będziecie noszeni.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noszone, ּ</w:t>
      </w:r>
      <w:r>
        <w:rPr>
          <w:rtl/>
        </w:rPr>
        <w:t>תִּנָׂשֵאּו</w:t>
      </w:r>
      <w:r>
        <w:rPr>
          <w:rtl w:val="0"/>
        </w:rPr>
        <w:t xml:space="preserve"> : w 1QIsa a : lm rż </w:t>
      </w:r>
      <w:r>
        <w:rPr>
          <w:rtl/>
        </w:rPr>
        <w:t>תנשינה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zabawiane, ּ</w:t>
      </w:r>
      <w:r>
        <w:rPr>
          <w:rtl/>
        </w:rPr>
        <w:t>תְׁשָעֳׁשָעּו</w:t>
      </w:r>
      <w:r>
        <w:rPr>
          <w:rtl w:val="0"/>
        </w:rPr>
        <w:t xml:space="preserve"> (tesza‘asza‘u), palp ׁ</w:t>
      </w:r>
      <w:r>
        <w:rPr>
          <w:rtl/>
        </w:rPr>
        <w:t>שָעַע</w:t>
      </w:r>
      <w:r>
        <w:rPr>
          <w:rtl w:val="0"/>
        </w:rPr>
        <w:t xml:space="preserve"> ; wg 1QIsa a : zabawiać się, </w:t>
      </w:r>
      <w:r>
        <w:rPr>
          <w:rtl/>
        </w:rPr>
        <w:t>תשתעשעו</w:t>
      </w:r>
      <w:r>
        <w:rPr>
          <w:rtl w:val="0"/>
        </w:rPr>
        <w:t xml:space="preserve"> , hitpalp.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2024-05-01T10:24:35Z</dcterms:modified>
</cp:coreProperties>
</file>