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zewnętrznego bramy prowadzącej na kolejny dziedziniec —dziedziniec wewnętrzny. Wynosiła ona 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łokci, zarówno w kierunku wschodnim, jak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odległość od fasady bramy dolnej do fasady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dziedzińca wewnętrznego z zewnątrz: sto łokci w kierunku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także szerokość od przodku bramy niższej aż do przodku sieni wewnętrznej z dworu na sto łokci ku wschodowi i 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szerokość od oblicza bramy niższej, aż do czoła sieni wnętrznej z nadworza, sto łokiet na Wschód i 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aż do przedniej strony dziedzińca wewnętrznego, [idąc] od zewnątrz: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wewnętrznej strony bramy dolnej do zewnętrznej strony bramy wewnętrznej: wynosiła ona sto łokci. Potem zaprowadził mnie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od fasady bramy niższej do fasady dziedzińca wewnętrznego na zewnątrz. Było sto łokci szerokości od wschodu i 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odległość od fasady bramy dolnej do dziedzińca wewnętrznego. Od strony zewnętrznej wynosiła ona sto łokci. To było od strony wschodniej. Co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[dziedzińca]. Od fasady bramy niższej do fasady [bramy] dziedzińca wewnętrznego na zewnątrz było sto łokci [w kierunku]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odległość od frontu bramy dolnej – do frontu wewnętrznego dziedzińca, z zewnątrz; po stronie wschodniej i północnej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do przedniej strony dziedzińca wewnętrznego. Na zewnątrz było sto łokci ku wschodowi i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2024-05-26T21:37:11Z</dcterms:modified>
</cp:coreProperties>
</file>