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nią okrycie z garbowanych skór,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 nad nią od góry pokrowiec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wykonany z fioletu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położą na niej przykrycie ze skór borsuczych i na tym rozciągną nakrycie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włożą na nię przykrycie z borsukowych skór, i przykryją z wierzchu wszystko oponą hijacyntową, i założą drążki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okryją zaś przykryciem z skór fiołkowej farby, i rozciągną na wierzchu przykrycie wszytko z hiacyntu,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pokrowiec ze skóry delfinów, a na tym rozciągną tkaninę całą z fioletowej purpury, wreszcie złożą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niej okrycie ze skór borsuczych, a na nim rozciągną sukno z błękitnej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ze skóry borsuków, a na tym rozciągną narzutę całą z fioletowej purpury. Wreszcie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tym okrycie ze skóry borsuczej, następnie tkaninę z fioletowej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nią pokrowiec ze skóry borsuczej, a od góry rozciągną nakrycie, całe z ciemnej purpury, po czym założą też drążki [do niesienia]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Położą na niej przykrycie ze skór wielobarwnych i rozciągną nad nim pokrowiec, cały z czystej niebieskiej [wełny]. Wtedy 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шкіряне синє покривало, і покладуть на нього зверху одіж всю синю, і вкладуть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na nią pokrowiec z borsuczej skóry, z wierzchu rozciągną całą z błękitu zasłonę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nią nakrycie ze skór foczych, a na wierzchu rozciągną całą niebieską tkaninę, i założą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2024-04-28T12:33:51Z</dcterms:modified>
</cp:coreProperties>
</file>