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czerń na bieli widać ich niegodziwość, Gdy prześcigają się w swoich zachciankach.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wystają od tłuszczu; mają więcej niż serce mogłoby sobie 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od tłustości oczy ich, a więcej mają nad pomyślenie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jakoby z tłustości nieprawość ich, puścili się za żądzami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oko wystaje z tłuszczu, złe zamysły nurtują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się dumnie ze swą otyłością, Serce ich jest pełne złych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zarastają tłuszczem, złe myśli wypełniają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tłuszczu lęgnie się nieprawość, w ich sercach rodzą się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[sercach] ich zarosłych tłuszczem rodzi się nieprawość, wzbierają niecne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Спалили огнем твою святиню, опоганили до землі поселення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otyłości wystąpiło ich oko; wezbrały urojenia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wytrzeszczone z otyłości; prześcignęli wyobrażenia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2024-05-21T09:51:40Z</dcterms:modified>
</cp:coreProperties>
</file>