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rydwanie były konie czerwone, a przy drugim rydwanie konie kare.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rydwan zaprzężony był w konie czerwone, drugi w konie kare.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pierwszym rydwanie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 rude, przy drugim rydwanie — konie kare;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wozie były konie rydze, a w drugim wozie konie wrone (kare):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poczwórnym konie rydze, a we wtórym poczwórnym konie wrone,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rydwan ciągnęły konie kasztanowate, drugi rydwan - konie kare,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wozie były konie kasztanowe, a w drugim wozie były konie kare.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wóz ciągnęły konie kasztanowate, a drugi czarne.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pierwszego rydwanu były zaprzęgnięte konie gniade, do drugiego rydwanu - konie kare,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wóz miał konie gniade, drugi wóz - konie karę,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першій колісниці рижі коні, і в другій колісниці чорні коні,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pierwszego rydwanu były konie ryże, a u drugiego rydwanu konie czarnej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rydwanie konie czerwone, a przy drugim rydwanie konie czarne.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2024-05-15T13:12:31Z</dcterms:modified>
</cp:coreProperties>
</file>