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2024-05-20T08:15:23Z</dcterms:modified>
</cp:coreProperties>
</file>