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2024-05-01T05:18:41Z</dcterms:modified>
</cp:coreProperties>
</file>