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3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byliście martwi z powodu waszych upadków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ożywił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byliście umarli w upadkach i w grzechach;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ożywił, którzyście byli umarli w upadkach i w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byli umarli przez występki i grzechy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byliście umarłymi na 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umarliście przez upadki i 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umarli wskutek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byliście umarli z powodu waszych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was, choć byliście umarli z powodu przestępstw i grzechów swoich,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przeszłości, z powodu przestępstw i grzechów byliście duchowo martwi,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umarli wskutek występków i 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були мертві через ваші провини й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umarłymi w fałszywych krokach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niegdyś martwi z powodu swoich grzechów i aktów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[Bóg ożywił] was, chociaż byliście martwi w waszych wykroczeniach i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byliście duchowo martwi, pogrążeni w grzechach i przestępstwach.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2024-04-29T02:26:14Z</dcterms:modified>
</cp:coreProperties>
</file>