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2024-05-14T03:49:47Z</dcterms:modified>
</cp:coreProperties>
</file>