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przestrzegał tej ustawy z roku na rok w oznaczonym jej czasie.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2024-05-10T06:00:48Z</dcterms:modified>
</cp:coreProperties>
</file>