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skupiaj uwagi na troskach, pokonuj słabości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bo młodość też w swym rozkwicie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gniew ze swojego serca i odrzuć zło od swego ciała,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oddal gniew od serca twego, i odrzuć złość od ciała twego,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gniew od serca twego i odrzuć złość od ciała twego. Bo młodość i rozkosz są rzeczy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przygnębienie ze swego serca i oddal ból od twego ciała, bo młodość jak zorza poranna szybko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utrapienia swojego serca i odrzuć słabości swojego ciała! Gdyż młodość i jej rozkwit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gorycz z twego serca, pozbądź się wszelkich cierpień, gdyż dzieciństwo i poranek życia są takie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wyrzuć ze swego serca smutek i nie dopuszczaj do siebie kłopotów, bo młodość i rześkość są ulotne jak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Wygnaj troskę ze swego serca i wyzbądź się cierpień swego ciała, bo młodość i wiosna życia -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 лють від твого серця і відведи зло від твого тіла, бо молодість і незнання -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usuń z twojego serca gniew oraz oddal złośliwość od twojej cielesnej natury gdyż wiek dziecięcy i młodzieńczy także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zgryzotę ze swego serca i odwróć nieszczęście od swego ciała, bo młodość i wiosna życia są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2024-06-02T08:36:54Z</dcterms:modified>
</cp:coreProperties>
</file>