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 nic wobec Niego, On uważa je za mniej niż nicość* i pustkę.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wobec Niego, są przed Nim jak nicość, jak pustka!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przed nim są niczym; uważa je za nicość i 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jako nic przed nim; za nic i za marność poczytane są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jakoby nie byli, tak są przed nim, a jako nic i próżność poczytani są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są przed Nim wszystkie narody, znaczą dla Niego tyle, co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u niego, uważa je za pustą 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Nim, uważa je za nicość i pustkę.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wszystkie narody są niczym, są dla Niego jak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Jego obliczem, nicością i marnością są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є як ніщо і за ніщо вважаються.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przy Nim jak nicość; są poczytane przez Niego jako cząstka próżności i 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przed nim jak coś nie istniejącego; są dla niego jak nicość, coś nierzeczywistego.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 niż nicość, </w:t>
      </w:r>
      <w:r>
        <w:rPr>
          <w:rtl/>
        </w:rPr>
        <w:t>מֵאֶפֶס</w:t>
      </w:r>
      <w:r>
        <w:rPr>
          <w:rtl w:val="0"/>
        </w:rPr>
        <w:t xml:space="preserve"> : wg 1QIsa a : i jak nicość, </w:t>
      </w:r>
      <w:r>
        <w:rPr>
          <w:rtl/>
        </w:rPr>
        <w:t>וכאפס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2024-05-28T04:18:01Z</dcterms:modified>
</cp:coreProperties>
</file>