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przykaże, by zarżnął jednego ptaka nad glinianym naczyniem, nad świeżą wodą.*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świeżą wodą, </w:t>
      </w:r>
      <w:r>
        <w:rPr>
          <w:rtl/>
        </w:rPr>
        <w:t>חַּיִים עַל־מַיִם</w:t>
      </w:r>
      <w:r>
        <w:rPr>
          <w:rtl w:val="0"/>
        </w:rPr>
        <w:t xml:space="preserve"> , lub: nad żywą wodą l. nad wodą źródlaną, zob. w. 50. Może chodzić o wodę studzienną (&lt;x&gt;10 26:19&lt;/x&gt;; &lt;x&gt;260 4:15&lt;/x&gt;); źródlaną (&lt;x&gt;300 2:13&lt;/x&gt; por. z 17:13); pochodzącą ze strumienia (&lt;x&gt;450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14:50&lt;/x&gt;; &lt;x&gt;30 15:13&lt;/x&gt;; &lt;x&gt;40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2024-05-14T02:55:37Z</dcterms:modified>
</cp:coreProperties>
</file>