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 i niech stanie się sercem zwierzęcym! I niech to trwa przez siedem pór!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widzeniach w mojej głowie na swoim łożu: Oto stróż i święty zstąpił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nadto w widzeniach moich na łożu mojem, a oto stróż i Święty z nieba zstąpiwszy,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zmieni, a serce źwierzęce niech mu będzie dane, a niech siedm czasów odmieni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ulegnie odmianie, a niech otrzyma serce zwierzęce; siedem okresów niech nad nim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dozna przemiany i niech stanie się sercem zwierzęcym! I niech tak będzie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będzie mu zabrane, a otrzyma serce zwierzęce. Niech przeminie nad nim siedem lat’.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zmieni jego serce ludzkie i niech mu dadzą serce zwierzęce. Niech nad nim przejdzie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нічному видінні на моєму ліжку, і ось ір (післанець) і святий з неба зійшов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 widziałem nadto w mych widzeniach – oto zszedł z niebios święty anioł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ʼWidziałem jeszcze na swoim łożu w wizjach, które miałem w swej głowie, a oto czuwający, święty, zstępował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2024-05-14T11:59:01Z</dcterms:modified>
</cp:coreProperties>
</file>