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2024-05-16T23:14:40Z</dcterms:modified>
</cp:coreProperties>
</file>