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 i że jest wzbudzony trzeciego dnia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pogrzebany* i że trzeciego dnia został wzbudzony** *** według Pism,****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został pogrzebany, i że jest wskrzeszony dnia trzeciego według 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pogrzebany i że jest wzbudzony trzeciego dnia według Pism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27:57-60&lt;/x&gt;; &lt;x&gt;480 15:43-46&lt;/x&gt;; &lt;x&gt;490 23:50-55&lt;/x&gt;; &lt;x&gt;500 19:38-41&lt;/x&gt;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Apostoł powołuje się na dwie grupy dowodów: Pismo Święte, np. &lt;x&gt;230 16:8-11&lt;/x&gt;; &lt;x&gt;290 53:5-6&lt;/x&gt;; oraz na sześć świadectw naocznych świadków (&lt;x&gt;510 1:21-22&lt;/x&gt;).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28:6-7&lt;/x&gt;; &lt;x&gt;480 16:6&lt;/x&gt;; &lt;x&gt;490 24:6-7&lt;/x&gt;; &lt;x&gt;500 20:9&lt;/x&gt;; &lt;x&gt;510 10:40&lt;/x&gt;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16:10&lt;/x&gt;; &lt;x&gt;350 6:2&lt;/x&gt;; &lt;x&gt;390 2:1&lt;/x&gt;; &lt;x&gt;470 12:40&lt;/x&gt;; &lt;x&gt;500 2:19&lt;/x&gt;; &lt;x&gt;510 2:24-32&lt;/x&gt;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2024-05-21T04:32:26Z</dcterms:modified>
</cp:coreProperties>
</file>