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Zauważcie, co wynikło z tego Bożego smutku. Jaka obudziła się w was tęsknota, jakie oburzenie na zło, jaka chęć wymierzenia kary! We wszystkim — jeśli chodzi o tę sprawę — okazaliście się czyści.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bowiem, że byliście zasmuceni według Boga, jakąż wielką wzbudziło w was pilność, jakie uniewinnianie się, jakie oburzenie, jaką bojaźń, jaką tęsknotę, jaką gorliwość, jakie wymierzenie kary! We wszystkim okazaliście się czyści w tej sprawie.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oto to samo, żeście według Boga byli zasmuceni, jako wielką w was pilność sprawiło, owszem obronę, owszem zapalczywość, owszem bojaźń, owszem żądność, owszem gorliwość, owszem pomstę, tak iż we wszystkiem okazaliście się być czystymi w tej sprawie.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o to samo, żeście wedle Boga byli zasmuceni, jako wielką pilność w was sprawuje! Owszem, obronę; owszem, zagniewanie; owszem, bojaźń; owszem, pragnienie; owszem, żarliwość; owszem, pomstę: we wszytkim zstawiliście się, abyście byli niepokalanymi w sprawie.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bowiem, że zasmuciliście się po Bożemu jakąż wzbudziło w was gorliwość, obronę, oburzenie, bojaźń, tęsknotę, zapał i potrzebę wymierzenia kary! We wszystkim okazaliście się bez zarzutu.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Patrzcie, co ten wasz smutek według Boga sprawił, jaką gorliwość, jakie uniewinnianie się, jakie oburzenie, jaką obawę, jaką tęsknotę, jaki zapał, jaką karę! Pod każdym względem okazaliście się czystymi w tej sprawie.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zgodne przecież z wolą Boga zasmucenie jakąż spowodowało wśród was gorliwość, jaką obronę, jakie oburzenie, jaką bojaźń, jaką tęsknotę, jaki zapał i jaką potrzebę wymierzenia kary! Pod każdym względem okazaliście się w tej sprawie nienaganni.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natomiast ten smutek, który był zgodny z wolą Bożą, pobudził was do niezwykłej gorliwości, obrony, oburzenia, bojaźni, tęsknoty, troski, wymierzenia kary. Pod każdym względem okazaliście się nienaganni w tej sprawie.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owo zasmucenie się po myśli Bożej do jakiejże doprowadziło was gorliwości, do jakiej obrony, i do oburzenia, i do bojaźni, i do pragnienia, i do zapału, i do wymierzenia kary. We wszystkim okazaliście, że w tej sprawie jesteście czyści.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Spójrzcie, co było wynikiem tego smutku, jakiego doznaliście zgodnie z wolą Boga; ileż wytrwałości w obronie, jakie wzburzenie, ile obaw i tęsknoty za mną, jakiż zapał do wymierzania sprawiedliwości! W tym wszystkim dowiedliście swej szczerości.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jaką gorliwość spowodował wśród was ten smutek znoszony po Bożemu. Nie tylko gorliwość spowodował, lecz również obronę, oburzenie, bojaźń, tęsknotę, żarliwość i potrzebę wymierzenia kary. Dowiedliście pod każdym względem, że w tej sprawie jesteście czyści.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саме це засмучення для Бога викликало у вас яку старанність, яке виправдання, яке обурення, який страх, яке бажання, яке старання, яку відплату! В усьому ви показали себе чистими в ділі.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samo to zasmucenie z Boga, jak wielką sprawiło w was gorliwość; wszakże obronę, wszakże oburzenie, wszakże bojaźń, wszakże tęsknotę, wszakże zapał, wszakże karę; we wszystkim oddaliście się pod opiekę, aby być nieskalani w tej sprawie.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spójrzcie, co zrodziło się w was przez podejście do tego bólu na sposób Boży! Jaka gorliwa pilność, jaka żarliwość, żeby się oczyścić, jaki gniew, jaki lęk, jakie pragnienie, jaki zapał, jaka gotowość, aby wszystko naprawić! We wszystkim okazaliście się bez zarzutu w tej sprawie.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bowiem to wasze zbożne zasmucenie jakże wielką zrodziło w was żarliwość, jakie oczyszczanie się, jakie oburzenie, jaką bojaźń, jaką tęsknotę, jaką gorliwość, jakie naprawianie zła! Pod każdym względem okazaliście się w tej sprawie nieskalanie czyści.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Zobaczcie, ile dobra przyniósł wam ten Boży smutek—wzbudził w was gorliwość, chęć oczyszczenia się, oburzenie z powodu grzechu, respekt dla Boga, tęsknotę za mną, jeszcze większy zapał oraz pragnienie ukarania tego, który spowodował ostatnie problemy. Zrobiliście też wszystko, aby uporządkować tę sprawę.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2024-05-23T01:39:19Z</dcterms:modified>
</cp:coreProperties>
</file>