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 z kolei, Elipeleh, Miknejasz, Obed-Edom, Jejel i Azazjasz przewodzili na cytrach o oktawę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Mattitiasz, Elifel, Miknejasz, Obed-Edom, Jejel i Azaziasz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harfach na Seminit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Matytyjasz, i Elifele, i Miknejasz, i Obededom, i Jechyjel, i Azazyjasz grali na cytrach przy śpiewaniu niskiem.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 i Elifalu, i Macenias, i Obededom, i Jehiel, i Ozazju na cytrach na oktawę grali zwycięską.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harfach, by dominować w oktawie;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Elipelehu, Miknejasz, Obed Edomczyk, Jeiel, Asazjasz grali na cytrach o oktawę niżej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Mattitiasza, Eliflehu, Miknejasza, Obed-Edoma, Jejela i Azazjasza – na lirach o ośmiu strunach, aby kierować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lirach, by nadawać ton w oktawie.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Eliflehu, Miknejahu, Obed-Edom, Jeiel i Azazjahu na cytrach w oktawie i mieli prowadzić [śpiew].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Маттатія і Еліфалія і Макенія і Авдедом і Іїл і Озія з гарфами амасеніт, щоб підсилити.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Mattitjasz, Elifele, Miknejasz, Obed Edom, Jejel i Azazjasz grali na cytrach w niższych oktawach.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Mattitiasza, i Elifelehu, i Miknejasza, i Obed-Edoma, i Jejela, i Azazjasza – z harfami nastrojonymi na tony szeminit, by pełnili funkcję kierowników;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2024-05-01T14:58:35Z</dcterms:modified>
</cp:coreProperties>
</file>