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dla dwóch plecionek, po dwa rzędy jabłek granatu na jedną plecionkę do przykrycia dwóch krągłości głowic, które były z przodu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jabłuszek granatu dla dwóch plecionek, po dwa rzędy jabłuszek na plecionkę, do przykrycia dwóch okrągłych głowic spoczywających na kolumnach.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do tych dwóch siatek, po dwa rzędy jabłek granatu na każdej siatce, do pokrycia dwóch okrągłych głowic na wierzchach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jabłek granatowych cztery sta do onych dwóch siatek, które dwa rzędy jabłek granatowych były na każdej siatce, aby okrywały one dwie gałki okrągłe, które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Malogranatów też czterzy sta i siatki dwie, tak iż dwa rzędy malogranatów z każdą się siatką złączały, które okrywały kapitella i wierzchy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czterysta jabłek granatu na obydwu siatkach, po dwa rzędy jabłek granatu na każdej siatce do pokrycia dwóch owalnych głowic, które były na tych kolumnach,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jabłuszek granatu do owych dwóch plecionek, a jabłuszek tych były dwa rzędy na jedną plecionkę do przykrycia owych dwóch okrągłych głowic na szczycie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czterysta jabłek granatu na obydwu siatkach, po dwa rzędy jabłek granatu na każdej siatce, aby okrywały dwa kuliste kapitele, które były na kolumnach,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owoców granatu dla dwóch wzorów sieci, po dwa rzędy owoców granatu w każdym, jako ozdoba owalnych głowic zwieńczających kolumny,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czterysta jabłek granatu do obydwu siatek, po dwa rzędy jabłek granatu do każdej siatki, w celu pokrycia owalnych głowic, wieńczących szczyty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чотириста золотих дзвіночків для двох мереж і два ряди ґранатових яблок в одній мережі, щоб покрити дві різблені роботи, які є над стовпами.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czterysta jabłek granatu do owych dwóch krat; dwa rzędy jabłek granatu na każdej kracie i one okrywały dwie sklepiające głowice, które były z wierzchu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do owych dwóch siatek, dwa rzędy jabłek granatu do każdej siatki, żeby przykryć dwie okrągłe głowice znajdujące się na kolumnach,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2024-04-29T19:50:06Z</dcterms:modified>
</cp:coreProperties>
</file>