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przeciwległej, czyli z jednej i z drugiej strony bramy dziedzińca, zasłony też rozciągały się na piętnaście łokci i zawieszone były na trzech słupach, stojących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bramy dziedzińca, z jednej i z drugiej strony, piętnaście łokci zasłon,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stronie, stąd i zowąd u bramy sieni, opon piętnaście łokci, słupów do nich trzy, także 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(bo między obiema uczynił wchodzenie do przybytku) były takież opony na piętnaście łokci, i trzy słupy, i tak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zaś na drugą ścianę boczną miały piętnaście łokci, a do tego miały też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stronę, po obu stronach bramy dziedzińca, zasłony też miały piętnaście łokci,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po drugiej stronie, po obu stronach bramy,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- aż do wejścia na dziedziniec - podobnie: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i drugiej [strony] bramy dziedzińca - na drugim odcinku tkaniny [miały długość] piętnaście ama, ich słupów [było] trzy i ich podstaw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рамен галузки, що виходять, три з цього і три з цього, рівні одні 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drugiego skrzydła, na drugiej stronie wrót dziedzińca piętnaście łokci osłon, trzy ich słupy oraz 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skrzydle bramy dziedzińca – po tej i po tamtej stronie – zasłony miały piętnaście łokci.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2024-04-29T13:26:15Z</dcterms:modified>
</cp:coreProperties>
</file>