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87"/>
        <w:gridCol w:w="3074"/>
        <w:gridCol w:w="4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powściągnij swoją chęć do jedzenia,</w:t>
            </w:r>
            <w:r>
              <w:rPr>
                <w:rFonts w:ascii="Times New Roman" w:eastAsia="Times New Roman" w:hAnsi="Times New Roman" w:cs="Times New Roman"/>
                <w:noProof w:val="0"/>
                <w:sz w:val="24"/>
              </w:rPr>
              <w:t xml:space="preserve"> jeśli zbytnio dopisuje ci apetyt —</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przyłóż nóż do gardła, jeśli jesteś łakomy.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Inaczej wraziłbyś nóż w gardło swoje, jeźlibyś był chciwy pokarmu.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połóż nóż w gardle twoim, jeśliż jednak masz w mocy duszę twoję.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nóż sobie przyłóż do gardła, jeżeli jesteś żarłokiem.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przyłóż sobie nóż do gardła, gdy chciwie jesz;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Przyłóż sobie nóż do gardła, jeśli masz wielki apetyt.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Nóż sobie przyłóż do gardła, jeśli jesteś łapczywy!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przyłóż sobie nóż do gardła, jeśli jesteś bardzo łapczywy.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приклади твою руку, знаючи, що тобі потрібно це приготовити.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inaczej, jeżeli jesteś chciwy, kładziesz sobie nóż na własne gardło.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przyłóż sobie do gardła nóż, jeśli czegoś pragniesz z całej duszy.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2024-04-29T05:32:42Z</dcterms:modified>
</cp:coreProperties>
</file>