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2210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wracały niczym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istoty biegały tam i z powrotem jak błysk pioruna.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Biegały też one zwierzęta, i wracały się jako prędkie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źwierzęta biegały i wracały się na kształt błyskawice błyskającej.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żyjące biegały tam i z powrotem niczym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i wracały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tam i z powrotem na podobieństwo błyskawicy.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istoty przebiegały tam i z powrotem na podobieństwo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stworzenia wyruszały i wracały, przypominając z wyglądu błyskawicę.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2024-04-24T01:35:57Z</dcterms:modified>
</cp:coreProperties>
</file>