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wewnątrz bramy były zwężające się okna* do wnęk i w kierunku ich pilastrów, zewsząd dokoła, i podobnie było w przysionku – i okna** były zewsząd dokoła wewnątrz, a na pilastrze – palmy.***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wnęki okienne; (2) wąskie okna.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przysionku – i okna, em. za BHS, ּ</w:t>
      </w:r>
      <w:r>
        <w:rPr>
          <w:rtl/>
        </w:rPr>
        <w:t>מֹו חַּלֹונֹות ־ לְאֵלַ</w:t>
      </w:r>
      <w:r>
        <w:rPr>
          <w:rtl w:val="0"/>
        </w:rPr>
        <w:t xml:space="preserve"> ; wg MT: przysionkach – i okna, </w:t>
      </w:r>
      <w:r>
        <w:rPr>
          <w:rtl/>
        </w:rPr>
        <w:t>לַּמֹות ־ לָאֵ</w:t>
      </w:r>
      <w:r>
        <w:rPr>
          <w:rtl w:val="0"/>
        </w:rPr>
        <w:t xml:space="preserve"> (la’elammot). Pod. notacja pojawia się w dalszej części rozdziału.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6:29&lt;/x&gt;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2024-05-18T13:29:59Z</dcterms:modified>
</cp:coreProperties>
</file>